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Stunning Cash Ultra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Bee-Fee Ltd</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“Stunning Cash Ultra”.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„Stunning Cash Ultra “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“Coin” simbols un “Cash Mesh”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opcija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2382812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63550" cy="445770"/>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63550" cy="44577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ruļla.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“Scatter” simboli izmaksā laimestu jebkurās pozīcijās saskaņā ar izmaksu  tabulu.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“Coin” simbola un “Cash Mesh” bonusa spēles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33450" cy="866775"/>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933450"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5 un vairāk “Coin” simboli aktivizē “Cash Mesh” bonusa spēli.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piešķirti 3 bezmaksas griezieni un katru reizi, kad uz spēles laukuma  parādās jauns “Cash” simbols, griezienu skaits tiek atiestatīts uz 3.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7.900886535644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Uz katra “Coin” simbola tiek norādīta naudas vērtība vai kāds no džekpotiem: • “Mini” - 10x no likmes apmēra;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335937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“Minor” – 20x no likmes apmēra;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“Major” – sākot no 500 EUR;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“Grand” – sākot no 1000 EUR.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“Coin” simboli, kas aktivizēja bonusa spēli, tiek fiksēti savās vietās un katrs  jaunais “Coin” simbols, kas parādās uz spēles laukuma arī tiek fiksēts.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bonusa spēles laikā viss spēles laukums ir aizpildīts, visām “Coin” simbolu  vērtībās tiek piemērots 2x reizinātājs.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Reizinātājs netiek piemērots Džekpotu laimestiem.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81433486938477"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Bonusa spēle beidzas, kad ir beigušies griezieni vai viss spēles laukums ir aizpildīts.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 ir 2 progressīvie un 2 statiskie Džekpoti.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Daļa no katras likmes tiek atskaitīti “Grand” un “Major” Džekpota uzkrājumā un  iespējamās Džekpotu summas, balstoties uz likmes apmēru (attēlā uzstādītā likme ir 1.00  EUR), tiek attēlotas uz ekrāna.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0871582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22463" cy="717550"/>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522463" cy="71755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“Minor” un “Mini” džekpoti mainās proporcionāli likmes apmēram.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“Grand” un “Major” džekpotu starta summas ir 1000 EUR un 500 EUR attiecīgi. Kad ir  laimētājs, šo džekpotu summas atgriežas uz starta pozīcijām.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63.8943481445312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Sistēma izslēdz iespēju vairākiem lietotājiem vienlaicīgi iegūt Džekpotu.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63.8943481445312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“Grand” un “Major” džekpotiem nav uzkrājuma limita griestu.</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vai izmantot “Gamble” funkciju , lai  palielinātu laimestu.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“Gamble”opciju ir iespējams izmantot 4 reizes pēc kārtas.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63964843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5537109375" w:line="225.870852470397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48285" cy="262890"/>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48285" cy="2628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5537109375" w:line="225.870852470397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3870" cy="489496"/>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83870" cy="48949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34716796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791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31890" cy="343535"/>
            <wp:effectExtent b="0" l="0" r="0" t="0"/>
            <wp:docPr id="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31890" cy="3435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89257049560547"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griezienu būs  automātiskajā spēlē.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par vienu griezienu bilance var palielināties.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74462890625" w:line="231.90743923187256"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0.50 EUR.  Palielinot likmi, proporcionāli palielinās līniju izmaksas: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12831" cy="1709128"/>
            <wp:effectExtent b="0" l="0" r="0" t="0"/>
            <wp:docPr id="8"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712831" cy="1709128"/>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5742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73168945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60971832275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6894950866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636631" cy="1895475"/>
            <wp:effectExtent b="0" l="0" r="0" t="0"/>
            <wp:docPr id="4"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636631" cy="189547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68949508667" w:lineRule="auto"/>
        <w:ind w:left="1440" w:right="4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68949508667"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5D">
      <w:pPr>
        <w:spacing w:after="0" w:line="259"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59526824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1">
      <w:pPr>
        <w:spacing w:line="240" w:lineRule="auto"/>
        <w:ind w:left="1440" w:right="45" w:firstLine="0"/>
        <w:rPr>
          <w:rFonts w:ascii="Times New Roman" w:cs="Times New Roman" w:eastAsia="Times New Roman" w:hAnsi="Times New Roman"/>
          <w:sz w:val="24"/>
          <w:szCs w:val="24"/>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98.2867431640625" w:top="1425.712890625" w:left="445.9156036376953" w:right="139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mailto:support@spins.lv" TargetMode="External"/><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