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Fury of Odin Megaways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w:t>
      </w: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Fury of Odin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Fury of Odin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“Fury” simbols un “Fury”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simboli, kas atrodas uz laimējošo simbolu ruļļiem, tiek novākti no laukuma uz aizstāti no  augšas ar jauniem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Kaskādes ietekmē no spēles laukuma netiek novākti “Bonus” simboli.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Pārveidotais lauks tiek atkārtoti novertēts un laimīgās kombinācijas tiek izmaksātas.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Kaskādes griezienu funkcija turpinās līdz nerodas jaunas laimīgās kombinācijas.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25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9868" cy="458470"/>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99868" cy="45847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virs 2, 3, 4 un 5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un “Fury” simbolus, lai  veidotu laimīgās kombinācijas.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72522" cy="464820"/>
            <wp:effectExtent b="0" l="0" r="0" t="0"/>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2522" cy="46482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simboli var parādīties jebkur uz spēles laukuma.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“Mystery” simboli, kas vienlaicīgi parādās uz spēles laukuma, atklāj vienādu parasto  simbolu.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“Fury” simbola un “Fury”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47700" cy="602512"/>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47700" cy="602512"/>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“Fury” simbols var parādīties tikai virs 2, 3, 4 un 5 ruļļa.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“Fury” simbols parādās uz augšējā papildruļļa, visi simboli zem “Fury” simbola tiek  pārvērsti par “Wild”.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kaskādes ietekmē “Fury” simbols maina savu pozīciju, visi simboli zem “Fury”  simbola pēc pārvietošanās tiek pārvērsti par “Wild”.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pēc “Fury” simbola aktivizēšanas uz spēles laukuma neizveidojas laimīgā  kombinācija, visi pārveidotie “Wild” simboli tiek fiksēti savās vietās un pārējās pozīcijas  griežās atkārtoti.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atkārtotā grieziena laikā neizveidojas vismaz viena laimīgā kombinācija, pārveidoto  “Wild” simbolu skaits uz ruļļa palielinās par +1, maksimālais augstums ir 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turpinās, kamēr uz spēles laukuma neizveidojas vismaz viena  laimīgā kombinācija.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1355" cy="695699"/>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81355" cy="69569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Četri un vairāk “Scatter” simboli, kas veido vārdu ODIN, aktivizē 10 bezmaksas  griezienus un +2 bezmaksas griezieni par katru papildus aktivizējošo “Scatter”  simbolu.</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ir aktīvs laimesta reizinātājs, kas sākas ar x1 un palielinās  par +1 pēc katras laimīgās kaskādes.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“Scatter” simbols, kas parādās uz spēles laukuma bezmaksas griezienu laikā,  piešķir +2 bezmaksas griezienus.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598892211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5988922119"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“Double Chance” opcijas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3866" cy="618489"/>
            <wp:effectExtent b="0" l="0" r="0" t="0"/>
            <wp:docPr id="1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63866" cy="618489"/>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“Double Chance” opcija palielina kopējās likmes apmēru par 25%.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ir aktīva “Double Chance” opcija, spēlētajam ir lielāka iespēja laimēt bezmaksas griezienu funkciju.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530541" cy="789643"/>
            <wp:effectExtent b="0" l="0" r="0" t="0"/>
            <wp:docPr id="1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30541" cy="78964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 spēles raundu.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6882286071777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1930716" cy="1114759"/>
            <wp:effectExtent b="0" l="0" r="0" t="0"/>
            <wp:docPr id="5"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30716" cy="1114759"/>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586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225866" cy="900637"/>
            <wp:effectExtent b="0" l="0" r="0" t="0"/>
            <wp:docPr id="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225866" cy="90063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15000x likmei gan pamatspēlē, gan bezmaksas griezienu papildspēlē. Ja BEZMAKSAS GRIEZIENU RAUNDA kopējā laimesta summa sasniedz </w:t>
      </w:r>
      <w:r w:rsidDel="00000000" w:rsidR="00000000" w:rsidRPr="00000000">
        <w:rPr>
          <w:rFonts w:ascii="Times New Roman" w:cs="Times New Roman" w:eastAsia="Times New Roman" w:hAnsi="Times New Roman"/>
          <w:sz w:val="24"/>
          <w:szCs w:val="24"/>
          <w:rtl w:val="0"/>
        </w:rPr>
        <w:t xml:space="preserve">15000x</w:t>
      </w:r>
      <w:r w:rsidDel="00000000" w:rsidR="00000000" w:rsidRPr="00000000">
        <w:rPr>
          <w:rFonts w:ascii="Times New Roman" w:cs="Times New Roman" w:eastAsia="Times New Roman" w:hAnsi="Times New Roman"/>
          <w:sz w:val="24"/>
          <w:szCs w:val="24"/>
          <w:rtl w:val="0"/>
        </w:rPr>
        <w:t xml:space="preserve"> likmi, raunds nekavējoties beidzas, laimests tiek piešķirts un visi atlikušie bezmaksas griezieni tiek atcelti.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0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6930" cy="294600"/>
            <wp:effectExtent b="0" l="0" r="0" t="0"/>
            <wp:docPr id="2"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836930" cy="2946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094911575317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9730" cy="293986"/>
            <wp:effectExtent b="0" l="0" r="0" t="0"/>
            <wp:docPr id="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79730" cy="29398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4">
      <w:pPr>
        <w:spacing w:before="60" w:line="259"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15000x apmērā. Ja raunda kopējais laimests sasniedz likmes vērtību 15000x apmērā, raunds beidzas nekavējoties, tiek piešķirts maksimālais laimests un visas atlikušās papildspēles tiek izbeigtas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līnijas likmi proporcionāli  mainās izmaksas.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7670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03893" cy="1219200"/>
            <wp:effectExtent b="0" l="0" r="0" t="0"/>
            <wp:docPr id="12"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703893"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6936168670654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86401" cy="666750"/>
            <wp:effectExtent b="0" l="0" r="0" t="0"/>
            <wp:docPr id="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086401"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3">
      <w:pPr>
        <w:spacing w:line="240" w:lineRule="auto"/>
        <w:ind w:left="144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93.0378723144531" w:top="1420.79833984375" w:left="162.0016098022461" w:right="1385.5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4.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10.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