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Reel Golden Piggy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“1 Reel Golden Piggy”.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Reel Golden Piggy“ ir viena ruļļa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Progressīvie laimesti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simboli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laimesti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ja spēlētājs nospiež “Collect” pogu.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Progressīvo laimestu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615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8288" cy="29718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008288" cy="2971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09295" cy="843125"/>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9295" cy="8431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128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norisinās uz viena ruļļa ar vienu pozīciju.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 piedalās 3 simboli ar progressīvajiem laimestiem, kas tiek balstīti uz to, cik reizes ir  izkritis viens un tas pats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izkrīt viens no simboliem, attiecīgā simbola progressa skala aizpildās par  vienu nodalījumu.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tiek uzkrāti bankā, izņemot tiešos laimestus un Džekpota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Nospiežot “Collect” pogu, viss bankā uzkrātais laimests tiek pievienots spēlētāja kontam  un uzkrājums, kā arī simbolu skalas tiek atiestatīti uz sākumu.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23217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95097" cy="743585"/>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095097" cy="74358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97710" cy="71374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97710" cy="71374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7304687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uz pozīcijas parādās pilna izmēra “Wild” simbols, tas skaitās kā 3 iespējamie simboli  uzreiz un katra simbola progress skala tiek aizpildīta par vienu nodalījumu kā arī bankai tiek  pievienots laimests par 3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459.81614112854004"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“Reset Bank” simbols atiestata visu simbolu progresu uz sākumu un bankas uzkrājumu uz 0.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laimestu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kāda no simbolu progresss sasniedz pēdējo līmeni, jebkurā nākamajā reizē, kad izkrīt  attiecīgais simbols, spēlētājam tiek piešķirts pēdējā attiecīgā simbola līmeņa laimests, kas  tiek pievienots uzreiz spēlētaja bilancei un netiek pievienots bankas uzkrājumam.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visu simbolu progressa skaitītāji ir aizpildīti, spēlētājam tiek piešķirts Džekpots 500x  no likmes apmēra.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Džekpota saņemšanas tas pazūd līdz brīdim, kad visas pārējās simbolu balvas ir  atiestatītas ar “Collect” pogu vai “Reset Bank” simbolu.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ja “Collect” poga ir nospiesta pirms uz spēles laukuma  parādās “Reset Bank” simbols.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89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22851" cy="296545"/>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22851" cy="2965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349" cy="455930"/>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77349" cy="455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19970703125" w:line="227.908673286438"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nospiest “Collect” pogu un savākt laimestu, pirms uz spēles  laukuma parādās “Reset Bank” simbols.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veidojas balstoties uz spēlētāja likmi un katra laimīgā simbola progressu. Katru  nākamo reizi, kad uz spēles laukuma parādās viens no simboliem, attiecīgā simbola progress palielinā spar vienu soli un spēlētaja laimesta uzkrājumam tiek pievienots laimests par lielāko  sasniegto soli.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581298828125" w:line="202.8703165054321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Piemērs: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71937" cy="1439545"/>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671937" cy="143954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703165054321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w:t>
      </w:r>
      <w:r w:rsidDel="00000000" w:rsidR="00000000" w:rsidRPr="00000000">
        <w:rPr>
          <w:rFonts w:ascii="Times New Roman" w:cs="Times New Roman" w:eastAsia="Times New Roman" w:hAnsi="Times New Roman"/>
          <w:sz w:val="24"/>
          <w:szCs w:val="24"/>
          <w:rtl w:val="0"/>
        </w:rPr>
        <w:t xml:space="preserve">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lētaja bankas uzkrājumam tiek pievienots laimests 2x  no likmes apmēra + 3x no likmes apmēra.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0">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929.4866943359375" w:top="1425.712890625" w:left="1435.4484558105469" w:right="1377.677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