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44B5"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0148946C" w14:textId="77777777" w:rsidR="00A95016"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58729D58" w14:textId="77777777" w:rsidR="00A950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400B15F5" w14:textId="77777777" w:rsidR="00A95016"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045626E8" w14:textId="77777777" w:rsidR="00A950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781F5005" w14:textId="77777777" w:rsidR="00A95016"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644DC36E"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64F374B" w14:textId="56EBED8D" w:rsidR="00A95016"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Win</w:t>
      </w:r>
      <w:r w:rsidR="00912D93">
        <w:rPr>
          <w:rFonts w:ascii="Times New Roman" w:eastAsia="Times New Roman" w:hAnsi="Times New Roman" w:cs="Times New Roman"/>
          <w:b/>
          <w:color w:val="000000"/>
          <w:sz w:val="24"/>
          <w:szCs w:val="24"/>
          <w:lang w:val="lv-LV"/>
        </w:rPr>
        <w:t>-</w:t>
      </w:r>
      <w:r>
        <w:rPr>
          <w:rFonts w:ascii="Times New Roman" w:eastAsia="Times New Roman" w:hAnsi="Times New Roman" w:cs="Times New Roman"/>
          <w:b/>
          <w:color w:val="000000"/>
          <w:sz w:val="24"/>
          <w:szCs w:val="24"/>
        </w:rPr>
        <w:t>a</w:t>
      </w:r>
      <w:r w:rsidR="00912D93">
        <w:rPr>
          <w:rFonts w:ascii="Times New Roman" w:eastAsia="Times New Roman" w:hAnsi="Times New Roman" w:cs="Times New Roman"/>
          <w:b/>
          <w:color w:val="000000"/>
          <w:sz w:val="24"/>
          <w:szCs w:val="24"/>
          <w:lang w:val="lv-LV"/>
        </w:rPr>
        <w:t>-</w:t>
      </w:r>
      <w:r>
        <w:rPr>
          <w:rFonts w:ascii="Times New Roman" w:eastAsia="Times New Roman" w:hAnsi="Times New Roman" w:cs="Times New Roman"/>
          <w:b/>
          <w:color w:val="000000"/>
          <w:sz w:val="24"/>
          <w:szCs w:val="24"/>
        </w:rPr>
        <w:t>Beest</w:t>
      </w:r>
      <w:r>
        <w:rPr>
          <w:rFonts w:ascii="Times New Roman" w:eastAsia="Times New Roman" w:hAnsi="Times New Roman" w:cs="Times New Roman"/>
          <w:color w:val="000000"/>
          <w:sz w:val="24"/>
          <w:szCs w:val="24"/>
        </w:rPr>
        <w:t xml:space="preserve"> </w:t>
      </w:r>
    </w:p>
    <w:p w14:paraId="7808F409" w14:textId="77777777" w:rsidR="00A95016"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0A86FB87" w14:textId="77777777" w:rsidR="00A95016"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w:t>
      </w:r>
      <w:r>
        <w:rPr>
          <w:rFonts w:ascii="Times New Roman" w:eastAsia="Times New Roman" w:hAnsi="Times New Roman" w:cs="Times New Roman"/>
          <w:sz w:val="24"/>
          <w:szCs w:val="24"/>
        </w:rPr>
        <w:t xml:space="preserve">Play’n GO Malta Ltd. </w:t>
      </w:r>
      <w:r>
        <w:rPr>
          <w:rFonts w:ascii="Times New Roman" w:eastAsia="Times New Roman" w:hAnsi="Times New Roman" w:cs="Times New Roman"/>
          <w:color w:val="000000"/>
          <w:sz w:val="24"/>
          <w:szCs w:val="24"/>
        </w:rPr>
        <w:t xml:space="preserve"> </w:t>
      </w:r>
    </w:p>
    <w:p w14:paraId="776C2010"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A170498"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Minimālā likme 0.10 EUR </w:t>
      </w:r>
    </w:p>
    <w:p w14:paraId="3017FB95" w14:textId="77777777" w:rsidR="00A95016" w:rsidRDefault="00000000">
      <w:pPr>
        <w:widowControl w:val="0"/>
        <w:pBdr>
          <w:top w:val="nil"/>
          <w:left w:val="nil"/>
          <w:bottom w:val="nil"/>
          <w:right w:val="nil"/>
          <w:between w:val="nil"/>
        </w:pBdr>
        <w:spacing w:before="4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Maksimālā likme 100.00 EUR </w:t>
      </w:r>
    </w:p>
    <w:p w14:paraId="231B5E18"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6BF585D3" w14:textId="07CE3DF2" w:rsidR="00A95016"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“Win</w:t>
      </w:r>
      <w:r w:rsidR="00912D93">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a</w:t>
      </w:r>
      <w:r w:rsidR="00912D93">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 xml:space="preserve">Beest”. </w:t>
      </w:r>
    </w:p>
    <w:p w14:paraId="451BD7F4" w14:textId="77777777" w:rsidR="00A95016" w:rsidRDefault="00000000">
      <w:pPr>
        <w:widowControl w:val="0"/>
        <w:pBdr>
          <w:top w:val="nil"/>
          <w:left w:val="nil"/>
          <w:bottom w:val="nil"/>
          <w:right w:val="nil"/>
          <w:between w:val="nil"/>
        </w:pBdr>
        <w:spacing w:before="334"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58387F7C" w14:textId="59BE6877" w:rsidR="00A95016"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w:t>
      </w:r>
      <w:r w:rsidR="00912D93">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a</w:t>
      </w:r>
      <w:r w:rsidR="00912D93">
        <w:rPr>
          <w:rFonts w:ascii="Times New Roman" w:eastAsia="Times New Roman" w:hAnsi="Times New Roman" w:cs="Times New Roman"/>
          <w:color w:val="000000"/>
          <w:sz w:val="24"/>
          <w:szCs w:val="24"/>
          <w:lang w:val="lv-LV"/>
        </w:rPr>
        <w:t>-</w:t>
      </w:r>
      <w:r>
        <w:rPr>
          <w:rFonts w:ascii="Times New Roman" w:eastAsia="Times New Roman" w:hAnsi="Times New Roman" w:cs="Times New Roman"/>
          <w:color w:val="000000"/>
          <w:sz w:val="24"/>
          <w:szCs w:val="24"/>
        </w:rPr>
        <w:t xml:space="preserve">Beest“ ir piecu ruļļu, 256 - 1024 izmaksas līniju spēļu automāts, kurā ir šādas  iespējas: </w:t>
      </w:r>
    </w:p>
    <w:p w14:paraId="0A7F9BB5" w14:textId="77777777" w:rsidR="00A95016"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Aizstājejsimbols (“Wild”) </w:t>
      </w:r>
    </w:p>
    <w:p w14:paraId="5C851232" w14:textId="77777777" w:rsidR="00A95016" w:rsidRDefault="00000000">
      <w:pPr>
        <w:widowControl w:val="0"/>
        <w:pBdr>
          <w:top w:val="nil"/>
          <w:left w:val="nil"/>
          <w:bottom w:val="nil"/>
          <w:right w:val="nil"/>
          <w:between w:val="nil"/>
        </w:pBdr>
        <w:spacing w:before="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Izkaisītais “Scatter” simbols un “Stampeding Spins” bezmaksas griezieni </w:t>
      </w:r>
    </w:p>
    <w:p w14:paraId="7817DEC7" w14:textId="77777777" w:rsidR="00A95016" w:rsidRDefault="00000000">
      <w:pPr>
        <w:widowControl w:val="0"/>
        <w:pBdr>
          <w:top w:val="nil"/>
          <w:left w:val="nil"/>
          <w:bottom w:val="nil"/>
          <w:right w:val="nil"/>
          <w:between w:val="nil"/>
        </w:pBdr>
        <w:spacing w:before="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“Beest Mode” funkcija </w:t>
      </w:r>
    </w:p>
    <w:p w14:paraId="46CA7799" w14:textId="77777777" w:rsidR="00A95016"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605AF36F" w14:textId="77777777" w:rsidR="00A95016"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1C39D4C6" w14:textId="77777777" w:rsidR="00A95016" w:rsidRDefault="00000000">
      <w:pPr>
        <w:widowControl w:val="0"/>
        <w:pBdr>
          <w:top w:val="nil"/>
          <w:left w:val="nil"/>
          <w:bottom w:val="nil"/>
          <w:right w:val="nil"/>
          <w:between w:val="nil"/>
        </w:pBdr>
        <w:spacing w:before="1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71A47589" w14:textId="77777777" w:rsidR="00A95016" w:rsidRDefault="00000000">
      <w:pPr>
        <w:widowControl w:val="0"/>
        <w:pBdr>
          <w:top w:val="nil"/>
          <w:left w:val="nil"/>
          <w:bottom w:val="nil"/>
          <w:right w:val="nil"/>
          <w:between w:val="nil"/>
        </w:pBdr>
        <w:spacing w:before="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līniju laimestiem.  </w:t>
      </w:r>
    </w:p>
    <w:p w14:paraId="4D3DFF28" w14:textId="77777777" w:rsidR="00A95016" w:rsidRDefault="00000000">
      <w:pPr>
        <w:widowControl w:val="0"/>
        <w:pBdr>
          <w:top w:val="nil"/>
          <w:left w:val="nil"/>
          <w:bottom w:val="nil"/>
          <w:right w:val="nil"/>
          <w:between w:val="nil"/>
        </w:pBdr>
        <w:spacing w:before="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spēle tiek pārtraukta, visa spēles informācija un uzliktās likmes tiks saglabātas,  kamēr jūs atkal atvērsiet spēli. Turpiniet spēli no pārtraukuma vietas.</w:t>
      </w:r>
    </w:p>
    <w:p w14:paraId="5E727B12" w14:textId="77777777" w:rsidR="00A95016" w:rsidRDefault="00A9501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68E83DB3"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3093E5E7" w14:textId="77777777" w:rsidR="00A95016"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34E79BA5"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344AE2C8" w14:textId="77777777" w:rsidR="00A95016"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Aizstājējsimbolu “Wild” noteikumi  </w:t>
      </w:r>
    </w:p>
    <w:p w14:paraId="37EAE454" w14:textId="77777777" w:rsidR="00A95016"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19338DB2" wp14:editId="69CFAA72">
            <wp:extent cx="2567940" cy="89903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67940" cy="899036"/>
                    </a:xfrm>
                    <a:prstGeom prst="rect">
                      <a:avLst/>
                    </a:prstGeom>
                    <a:ln/>
                  </pic:spPr>
                </pic:pic>
              </a:graphicData>
            </a:graphic>
          </wp:inline>
        </w:drawing>
      </w:r>
    </w:p>
    <w:p w14:paraId="494643E8" w14:textId="77777777" w:rsidR="00A95016" w:rsidRDefault="00000000">
      <w:pPr>
        <w:widowControl w:val="0"/>
        <w:pBdr>
          <w:top w:val="nil"/>
          <w:left w:val="nil"/>
          <w:bottom w:val="nil"/>
          <w:right w:val="nil"/>
          <w:between w:val="nil"/>
        </w:pBdr>
        <w:spacing w:before="10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var parādīties uz ruļļiem jebkurā pozīcijā. </w:t>
      </w:r>
    </w:p>
    <w:p w14:paraId="27A7E982" w14:textId="77777777" w:rsidR="00A95016" w:rsidRDefault="00000000">
      <w:pPr>
        <w:widowControl w:val="0"/>
        <w:pBdr>
          <w:top w:val="nil"/>
          <w:left w:val="nil"/>
          <w:bottom w:val="nil"/>
          <w:right w:val="nil"/>
          <w:between w:val="nil"/>
        </w:pBdr>
        <w:spacing w:before="3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aizstāj jebkuru simbolu, izņemot “Scatter” simbolu.  </w:t>
      </w:r>
    </w:p>
    <w:p w14:paraId="6FB5EBFA" w14:textId="77777777" w:rsidR="00A95016" w:rsidRDefault="00000000">
      <w:pPr>
        <w:widowControl w:val="0"/>
        <w:pBdr>
          <w:top w:val="nil"/>
          <w:left w:val="nil"/>
          <w:bottom w:val="nil"/>
          <w:right w:val="nil"/>
          <w:between w:val="nil"/>
        </w:pBdr>
        <w:spacing w:before="3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Uz ruļļiem var arī parādīties “Wild” simbols ar laimesta reizinātāju x2.  </w:t>
      </w:r>
    </w:p>
    <w:p w14:paraId="312AC82A" w14:textId="77777777" w:rsidR="00A95016" w:rsidRDefault="00000000">
      <w:pPr>
        <w:widowControl w:val="0"/>
        <w:pBdr>
          <w:top w:val="nil"/>
          <w:left w:val="nil"/>
          <w:bottom w:val="nil"/>
          <w:right w:val="nil"/>
          <w:between w:val="nil"/>
        </w:pBdr>
        <w:spacing w:before="329" w:line="542"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Izkaisīta “Scatter” simbola un “Stampeding Spins” bezmaksas griezienu noteikumi  </w:t>
      </w:r>
      <w:r>
        <w:rPr>
          <w:rFonts w:ascii="Times New Roman" w:eastAsia="Times New Roman" w:hAnsi="Times New Roman" w:cs="Times New Roman"/>
          <w:b/>
          <w:i/>
          <w:noProof/>
          <w:color w:val="000000"/>
          <w:sz w:val="24"/>
          <w:szCs w:val="24"/>
        </w:rPr>
        <w:drawing>
          <wp:inline distT="19050" distB="19050" distL="19050" distR="19050" wp14:anchorId="5ECACDE0" wp14:editId="2548EAE2">
            <wp:extent cx="1386840" cy="98263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386840" cy="982635"/>
                    </a:xfrm>
                    <a:prstGeom prst="rect">
                      <a:avLst/>
                    </a:prstGeom>
                    <a:ln/>
                  </pic:spPr>
                </pic:pic>
              </a:graphicData>
            </a:graphic>
          </wp:inline>
        </w:drawing>
      </w:r>
    </w:p>
    <w:p w14:paraId="514DADED" w14:textId="77777777" w:rsidR="00A95016"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vai vairāki “Scatter” simboli aktivizē bezmaksas griezienus. </w:t>
      </w:r>
    </w:p>
    <w:p w14:paraId="2C163F8E" w14:textId="77777777" w:rsidR="00A95016" w:rsidRDefault="00000000">
      <w:pPr>
        <w:widowControl w:val="0"/>
        <w:pBdr>
          <w:top w:val="nil"/>
          <w:left w:val="nil"/>
          <w:bottom w:val="nil"/>
          <w:right w:val="nil"/>
          <w:between w:val="nil"/>
        </w:pBdr>
        <w:spacing w:before="367"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Trīs “Scatter” simboli aktivizē 8 bezmaksas griezienus </w:t>
      </w:r>
    </w:p>
    <w:p w14:paraId="6C90F7FC" w14:textId="77777777" w:rsidR="00A95016" w:rsidRDefault="00000000">
      <w:pPr>
        <w:widowControl w:val="0"/>
        <w:pBdr>
          <w:top w:val="nil"/>
          <w:left w:val="nil"/>
          <w:bottom w:val="nil"/>
          <w:right w:val="nil"/>
          <w:between w:val="nil"/>
        </w:pBdr>
        <w:spacing w:before="55"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Četri “Scatter” simboli aktivizē 12 bezmaksas griezienus  </w:t>
      </w:r>
    </w:p>
    <w:p w14:paraId="108670BE" w14:textId="77777777" w:rsidR="00A95016" w:rsidRDefault="00000000">
      <w:pPr>
        <w:widowControl w:val="0"/>
        <w:pBdr>
          <w:top w:val="nil"/>
          <w:left w:val="nil"/>
          <w:bottom w:val="nil"/>
          <w:right w:val="nil"/>
          <w:between w:val="nil"/>
        </w:pBdr>
        <w:spacing w:before="5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Pieci “Scatter” simboli aktivizē 20 bezmaksas griezienus </w:t>
      </w:r>
    </w:p>
    <w:p w14:paraId="109FD59C" w14:textId="77777777" w:rsidR="00A95016" w:rsidRDefault="00000000">
      <w:pPr>
        <w:widowControl w:val="0"/>
        <w:pBdr>
          <w:top w:val="nil"/>
          <w:left w:val="nil"/>
          <w:bottom w:val="nil"/>
          <w:right w:val="nil"/>
          <w:between w:val="nil"/>
        </w:pBdr>
        <w:spacing w:before="358"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griezienu laikā trīs vai vairāki “Scatter” simboli aktivizē papildus 8, 12  vai 20 bezmaksas griezienus.  </w:t>
      </w:r>
    </w:p>
    <w:p w14:paraId="5ED27811" w14:textId="77777777" w:rsidR="00A95016" w:rsidRDefault="00000000">
      <w:pPr>
        <w:widowControl w:val="0"/>
        <w:pBdr>
          <w:top w:val="nil"/>
          <w:left w:val="nil"/>
          <w:bottom w:val="nil"/>
          <w:right w:val="nil"/>
          <w:between w:val="nil"/>
        </w:pBdr>
        <w:spacing w:before="12" w:line="26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Bezmaksas griezienu laikā ir iespēja aktivizēt “Beest Mode” un “Beest Mode Spins”  funkciju (skat. “Beest Mode” un “Beest Mode Spins” funkcijas noteikumos).</w:t>
      </w:r>
    </w:p>
    <w:p w14:paraId="4B551F6F" w14:textId="77777777" w:rsidR="00A95016" w:rsidRDefault="00A95016">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1BA3B773"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“Beest Mode” funkcijas noteikumi  </w:t>
      </w:r>
    </w:p>
    <w:p w14:paraId="72C16D3F" w14:textId="77777777" w:rsidR="00A95016" w:rsidRDefault="00000000">
      <w:pPr>
        <w:widowControl w:val="0"/>
        <w:pBdr>
          <w:top w:val="nil"/>
          <w:left w:val="nil"/>
          <w:bottom w:val="nil"/>
          <w:right w:val="nil"/>
          <w:between w:val="nil"/>
        </w:pBdr>
        <w:spacing w:before="36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967B824" wp14:editId="1B102754">
            <wp:extent cx="1744864" cy="11017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44864" cy="1101725"/>
                    </a:xfrm>
                    <a:prstGeom prst="rect">
                      <a:avLst/>
                    </a:prstGeom>
                    <a:ln/>
                  </pic:spPr>
                </pic:pic>
              </a:graphicData>
            </a:graphic>
          </wp:inline>
        </w:drawing>
      </w:r>
    </w:p>
    <w:p w14:paraId="01890C1E" w14:textId="77777777" w:rsidR="00A95016" w:rsidRDefault="00000000">
      <w:pPr>
        <w:widowControl w:val="0"/>
        <w:pBdr>
          <w:top w:val="nil"/>
          <w:left w:val="nil"/>
          <w:bottom w:val="nil"/>
          <w:right w:val="nil"/>
          <w:between w:val="nil"/>
        </w:pBdr>
        <w:spacing w:before="5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“Beest Mode” funkcija var tikt aktivizēta jebkura grieziena laikā.  </w:t>
      </w:r>
    </w:p>
    <w:p w14:paraId="01A282B1" w14:textId="77777777" w:rsidR="00A95016" w:rsidRDefault="00000000">
      <w:pPr>
        <w:widowControl w:val="0"/>
        <w:pBdr>
          <w:top w:val="nil"/>
          <w:left w:val="nil"/>
          <w:bottom w:val="nil"/>
          <w:right w:val="nil"/>
          <w:between w:val="nil"/>
        </w:pBdr>
        <w:spacing w:before="3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“Beest Mode” funkcijas laikā rullis paplašinās līdz 5x4 izkārtojumam vienam  griezienam.  </w:t>
      </w:r>
    </w:p>
    <w:p w14:paraId="527C5EB9" w14:textId="77777777" w:rsidR="00A95016"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“Beest Mode” funkcijas laikā uz ruļļa var parādīties tikai “Win-A-Beest”, “Scatter”,  “Wild” simboli un tukšās pozīcijas.  </w:t>
      </w:r>
    </w:p>
    <w:p w14:paraId="084ABACF" w14:textId="77777777" w:rsidR="00A95016" w:rsidRDefault="00000000">
      <w:pPr>
        <w:widowControl w:val="0"/>
        <w:pBdr>
          <w:top w:val="nil"/>
          <w:left w:val="nil"/>
          <w:bottom w:val="nil"/>
          <w:right w:val="nil"/>
          <w:between w:val="nil"/>
        </w:pBdr>
        <w:spacing w:before="12"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“Beest Mode” funkcijas laikā tiek izmaksāti visi iespējamie laimesti.  </w:t>
      </w:r>
    </w:p>
    <w:p w14:paraId="35ED4907" w14:textId="77777777" w:rsidR="00A95016" w:rsidRDefault="00000000">
      <w:pPr>
        <w:widowControl w:val="0"/>
        <w:pBdr>
          <w:top w:val="nil"/>
          <w:left w:val="nil"/>
          <w:bottom w:val="nil"/>
          <w:right w:val="nil"/>
          <w:between w:val="nil"/>
        </w:pBdr>
        <w:spacing w:before="12"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Ja “Beest Mode” funkcijas laikā uz ruļļiem parādās trīs vai vairāki “Scatter” simboli,  tiek aktivizēti “Beest Mode” griezieni.  </w:t>
      </w:r>
    </w:p>
    <w:p w14:paraId="6B17635D" w14:textId="77777777" w:rsidR="00A95016" w:rsidRDefault="00000000">
      <w:pPr>
        <w:widowControl w:val="0"/>
        <w:pBdr>
          <w:top w:val="nil"/>
          <w:left w:val="nil"/>
          <w:bottom w:val="nil"/>
          <w:right w:val="nil"/>
          <w:between w:val="nil"/>
        </w:pBdr>
        <w:spacing w:before="34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Trīs “Scatter” simboli aktivizē 8 “Beest Mode” griezienus </w:t>
      </w:r>
    </w:p>
    <w:p w14:paraId="7B4BCE1C" w14:textId="77777777" w:rsidR="00A95016" w:rsidRDefault="00000000">
      <w:pPr>
        <w:widowControl w:val="0"/>
        <w:pBdr>
          <w:top w:val="nil"/>
          <w:left w:val="nil"/>
          <w:bottom w:val="nil"/>
          <w:right w:val="nil"/>
          <w:between w:val="nil"/>
        </w:pBdr>
        <w:spacing w:before="55"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Četri “Scatter” simboli aktivizē 12 “Beest Mode” griezienus  </w:t>
      </w:r>
    </w:p>
    <w:p w14:paraId="262EF498" w14:textId="77777777" w:rsidR="00A95016" w:rsidRDefault="00000000">
      <w:pPr>
        <w:widowControl w:val="0"/>
        <w:pBdr>
          <w:top w:val="nil"/>
          <w:left w:val="nil"/>
          <w:bottom w:val="nil"/>
          <w:right w:val="nil"/>
          <w:between w:val="nil"/>
        </w:pBdr>
        <w:spacing w:before="5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Pieci “Scatter” simboli aktivizē 20 “Beest Mode” griezienus </w:t>
      </w:r>
    </w:p>
    <w:p w14:paraId="726A3EC3" w14:textId="77777777" w:rsidR="00A95016" w:rsidRDefault="00000000">
      <w:pPr>
        <w:widowControl w:val="0"/>
        <w:pBdr>
          <w:top w:val="nil"/>
          <w:left w:val="nil"/>
          <w:bottom w:val="nil"/>
          <w:right w:val="nil"/>
          <w:between w:val="nil"/>
        </w:pBdr>
        <w:spacing w:before="358"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“Beest Mode” griezienu laikā trīs vai vairāki “Scatter” simboli piešķir papildus 8, 12  vai 20 “Beest Mode” griezienus.  </w:t>
      </w:r>
    </w:p>
    <w:p w14:paraId="70F6ACFB" w14:textId="77777777" w:rsidR="00A95016" w:rsidRDefault="00000000">
      <w:pPr>
        <w:widowControl w:val="0"/>
        <w:pBdr>
          <w:top w:val="nil"/>
          <w:left w:val="nil"/>
          <w:bottom w:val="nil"/>
          <w:right w:val="nil"/>
          <w:between w:val="nil"/>
        </w:pBdr>
        <w:spacing w:before="37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425719FC" w14:textId="77777777" w:rsidR="00A95016" w:rsidRDefault="00000000">
      <w:pPr>
        <w:widowControl w:val="0"/>
        <w:pBdr>
          <w:top w:val="nil"/>
          <w:left w:val="nil"/>
          <w:bottom w:val="nil"/>
          <w:right w:val="nil"/>
          <w:between w:val="nil"/>
        </w:pBdr>
        <w:spacing w:before="3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228CBBAE" w14:textId="77777777" w:rsidR="00A95016"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5C18ADF" wp14:editId="7CF9602E">
            <wp:extent cx="3895725" cy="4762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895725" cy="476250"/>
                    </a:xfrm>
                    <a:prstGeom prst="rect">
                      <a:avLst/>
                    </a:prstGeom>
                    <a:ln/>
                  </pic:spPr>
                </pic:pic>
              </a:graphicData>
            </a:graphic>
          </wp:inline>
        </w:drawing>
      </w:r>
    </w:p>
    <w:p w14:paraId="0C08C19B" w14:textId="77777777" w:rsidR="00A95016" w:rsidRDefault="00000000">
      <w:pPr>
        <w:widowControl w:val="0"/>
        <w:pBdr>
          <w:top w:val="nil"/>
          <w:left w:val="nil"/>
          <w:bottom w:val="nil"/>
          <w:right w:val="nil"/>
          <w:between w:val="nil"/>
        </w:pBdr>
        <w:spacing w:before="214"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14:paraId="46F7FE0C" w14:textId="77777777" w:rsidR="00A95016" w:rsidRDefault="00000000">
      <w:pPr>
        <w:widowControl w:val="0"/>
        <w:pBdr>
          <w:top w:val="nil"/>
          <w:left w:val="nil"/>
          <w:bottom w:val="nil"/>
          <w:right w:val="nil"/>
          <w:between w:val="nil"/>
        </w:pBdr>
        <w:spacing w:before="334"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32D9E8AE" w14:textId="77777777" w:rsidR="00A95016"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Number of games (Griezienu skaits). Izvēlies, cik reizes pēc kārtas ruļļi  griezīsies Automātiskajā režīmā. </w:t>
      </w:r>
    </w:p>
    <w:p w14:paraId="6CC01846" w14:textId="77777777" w:rsidR="00A95016"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Sadaļa Stop autoplay (Grieziena Apturēšanas Iestatījumi). Jūs varat izvēlēties vienu  no iespējam, kad apturēt Automātisko režīmu:</w:t>
      </w:r>
    </w:p>
    <w:p w14:paraId="2070370F" w14:textId="77777777" w:rsidR="00A95016" w:rsidRDefault="00000000">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0BFCF738" w14:textId="77777777" w:rsidR="00A95016"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02A4DEBD" w14:textId="77777777" w:rsidR="00A95016"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0A019F67" w14:textId="77777777" w:rsidR="00A95016"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7B4CE25F" w14:textId="77777777" w:rsidR="00A95016"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samazinās par…... </w:t>
      </w:r>
    </w:p>
    <w:p w14:paraId="4F9550EF" w14:textId="77777777" w:rsidR="00A95016" w:rsidRDefault="00000000">
      <w:pPr>
        <w:widowControl w:val="0"/>
        <w:pBdr>
          <w:top w:val="nil"/>
          <w:left w:val="nil"/>
          <w:bottom w:val="nil"/>
          <w:right w:val="nil"/>
          <w:between w:val="nil"/>
        </w:pBdr>
        <w:spacing w:before="675"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2E4ECA40" w14:textId="77777777" w:rsidR="00A95016" w:rsidRDefault="00000000">
      <w:pPr>
        <w:widowControl w:val="0"/>
        <w:pBdr>
          <w:top w:val="nil"/>
          <w:left w:val="nil"/>
          <w:bottom w:val="nil"/>
          <w:right w:val="nil"/>
          <w:between w:val="nil"/>
        </w:pBdr>
        <w:spacing w:before="329"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1FB1C288" w14:textId="77777777" w:rsidR="00A95016" w:rsidRDefault="00000000">
      <w:pPr>
        <w:widowControl w:val="0"/>
        <w:pBdr>
          <w:top w:val="nil"/>
          <w:left w:val="nil"/>
          <w:bottom w:val="nil"/>
          <w:right w:val="nil"/>
          <w:between w:val="nil"/>
        </w:pBdr>
        <w:spacing w:before="32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0180A79D" w14:textId="77777777" w:rsidR="00A95016"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Regulāro Izmaksu Apraksts  </w:t>
      </w:r>
    </w:p>
    <w:p w14:paraId="3FAADB19" w14:textId="77777777" w:rsidR="00A95016"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18A4163E" w14:textId="77777777" w:rsidR="00A95016"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Simboliem jābūt līdzās uz aktīvas izmaksas līnijas. </w:t>
      </w:r>
    </w:p>
    <w:p w14:paraId="69F60464" w14:textId="77777777" w:rsidR="00A95016" w:rsidRDefault="00000000">
      <w:pPr>
        <w:widowControl w:val="0"/>
        <w:pBdr>
          <w:top w:val="nil"/>
          <w:left w:val="nil"/>
          <w:bottom w:val="nil"/>
          <w:right w:val="nil"/>
          <w:between w:val="nil"/>
        </w:pBdr>
        <w:spacing w:before="3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Laimīgās kombinācijas veidojas no kreisās uz labo pusi. Vismaz vienam no  simboliem jābūt attēlotam uz pirmā ruļļa. Simbolu kombinācijas neveidojas, ja  pirmais simbols ir uz otrā ruļļa.  </w:t>
      </w:r>
    </w:p>
    <w:p w14:paraId="1E134F31" w14:textId="77777777" w:rsidR="00A95016"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Regulārās Izmaksas ar kopējo grieziena likmi 0.10 € parādītas attēlā. Palielinot likmi,  izmaksas palielinās proporcionāli:</w:t>
      </w:r>
    </w:p>
    <w:p w14:paraId="65D1BCA0" w14:textId="77777777" w:rsidR="00A95016" w:rsidRDefault="00000000">
      <w:pPr>
        <w:widowControl w:val="0"/>
        <w:pBdr>
          <w:top w:val="nil"/>
          <w:left w:val="nil"/>
          <w:bottom w:val="nil"/>
          <w:right w:val="nil"/>
          <w:between w:val="nil"/>
        </w:pBdr>
        <w:spacing w:before="12" w:line="263"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5EBB662" wp14:editId="3EC06FD8">
            <wp:extent cx="3918547" cy="410606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918547" cy="4106068"/>
                    </a:xfrm>
                    <a:prstGeom prst="rect">
                      <a:avLst/>
                    </a:prstGeom>
                    <a:ln/>
                  </pic:spPr>
                </pic:pic>
              </a:graphicData>
            </a:graphic>
          </wp:inline>
        </w:drawing>
      </w:r>
    </w:p>
    <w:p w14:paraId="3A3E3E50" w14:textId="77777777" w:rsidR="00A95016" w:rsidRDefault="00A95016">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E94408"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0FE38687" w14:textId="77777777" w:rsidR="00A95016"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Laimēto kredītu skaits atkarīgs no kopējā laimēto kredītu skaita reizinājumu ar jūsu izvēlētas  likmes lieluma. Līnijas, kas redzamas attēlā, parāda iespējamās izmaksas līniju formas:  </w:t>
      </w:r>
    </w:p>
    <w:p w14:paraId="26ACB58C" w14:textId="77777777" w:rsidR="00A95016" w:rsidRDefault="00000000">
      <w:pPr>
        <w:widowControl w:val="0"/>
        <w:pBdr>
          <w:top w:val="nil"/>
          <w:left w:val="nil"/>
          <w:bottom w:val="nil"/>
          <w:right w:val="nil"/>
          <w:between w:val="nil"/>
        </w:pBdr>
        <w:spacing w:before="23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78F8BAE" wp14:editId="58EE86B9">
            <wp:extent cx="3566160" cy="11722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566160" cy="1172210"/>
                    </a:xfrm>
                    <a:prstGeom prst="rect">
                      <a:avLst/>
                    </a:prstGeom>
                    <a:ln/>
                  </pic:spPr>
                </pic:pic>
              </a:graphicData>
            </a:graphic>
          </wp:inline>
        </w:drawing>
      </w:r>
    </w:p>
    <w:p w14:paraId="4ABD8C4B"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64BC05ED" w14:textId="77777777" w:rsidR="00A95016"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Laimests tiek automātiski ieskaitīts klienta </w:t>
      </w:r>
      <w:r>
        <w:rPr>
          <w:rFonts w:ascii="Times New Roman" w:eastAsia="Times New Roman" w:hAnsi="Times New Roman" w:cs="Times New Roman"/>
          <w:sz w:val="24"/>
          <w:szCs w:val="24"/>
        </w:rPr>
        <w:t>Spins.lv kontā.</w:t>
      </w:r>
    </w:p>
    <w:p w14:paraId="1C3C542E" w14:textId="77777777" w:rsidR="00A95016" w:rsidRDefault="00000000">
      <w:pPr>
        <w:widowControl w:val="0"/>
        <w:pBdr>
          <w:top w:val="nil"/>
          <w:left w:val="nil"/>
          <w:bottom w:val="nil"/>
          <w:right w:val="nil"/>
          <w:between w:val="nil"/>
        </w:pBdr>
        <w:spacing w:before="6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51761E95" w14:textId="77777777" w:rsidR="00A95016" w:rsidRDefault="00000000">
      <w:pPr>
        <w:widowControl w:val="0"/>
        <w:pBdr>
          <w:top w:val="nil"/>
          <w:left w:val="nil"/>
          <w:bottom w:val="nil"/>
          <w:right w:val="nil"/>
          <w:between w:val="nil"/>
        </w:pBdr>
        <w:spacing w:before="353"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3B802AF9" w14:textId="77777777" w:rsidR="00A95016" w:rsidRDefault="00000000">
      <w:pPr>
        <w:widowControl w:val="0"/>
        <w:pBdr>
          <w:top w:val="nil"/>
          <w:left w:val="nil"/>
          <w:bottom w:val="nil"/>
          <w:right w:val="nil"/>
          <w:between w:val="nil"/>
        </w:pBdr>
        <w:spacing w:before="328"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3EFD5B10" w14:textId="77777777" w:rsidR="00A95016" w:rsidRDefault="00000000">
      <w:pPr>
        <w:widowControl w:val="0"/>
        <w:pBdr>
          <w:top w:val="nil"/>
          <w:left w:val="nil"/>
          <w:bottom w:val="nil"/>
          <w:right w:val="nil"/>
          <w:between w:val="nil"/>
        </w:pBdr>
        <w:spacing w:before="10"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1">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r>
        <w:rPr>
          <w:rFonts w:ascii="Times New Roman" w:eastAsia="Times New Roman" w:hAnsi="Times New Roman" w:cs="Times New Roman"/>
          <w:color w:val="000000"/>
          <w:sz w:val="24"/>
          <w:szCs w:val="24"/>
        </w:rPr>
        <w:t xml:space="preserve"> </w:t>
      </w:r>
    </w:p>
    <w:p w14:paraId="189B4F07" w14:textId="77777777" w:rsidR="00A95016"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b/>
          <w:color w:val="000000"/>
          <w:sz w:val="24"/>
          <w:szCs w:val="24"/>
        </w:rPr>
        <w:t>Cita informācija, kuru azartspēles organizētājs uzskata par nepieciešamu.</w:t>
      </w:r>
    </w:p>
    <w:sectPr w:rsidR="00A95016">
      <w:pgSz w:w="11900" w:h="16840"/>
      <w:pgMar w:top="1420" w:right="1387" w:bottom="1465" w:left="142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16"/>
    <w:rsid w:val="00912D93"/>
    <w:rsid w:val="00A9501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76E1D07"/>
  <w15:docId w15:val="{7915A6B3-66A4-4648-A42E-34D97F7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support@spins.lv"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2022-09-20T11:32:00Z</dcterms:created>
  <dcterms:modified xsi:type="dcterms:W3CDTF">2022-09-20T11:33:00Z</dcterms:modified>
</cp:coreProperties>
</file>