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4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4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519775390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1982421875" w:line="240" w:lineRule="auto"/>
        <w:ind w:left="1440" w:right="45" w:firstLine="0"/>
        <w:rPr>
          <w:rFonts w:ascii="Times New Roman" w:cs="Times New Roman" w:eastAsia="Times New Roman" w:hAnsi="Times New Roman"/>
          <w:b w:val="1"/>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222222"/>
          <w:sz w:val="24"/>
          <w:szCs w:val="24"/>
          <w:highlight w:val="white"/>
          <w:u w:val="none"/>
          <w:vertAlign w:val="baseline"/>
          <w:rtl w:val="0"/>
        </w:rPr>
        <w:t xml:space="preserve">Smashing Sevens: Win Ways</w:t>
      </w:r>
      <w:r w:rsidDel="00000000" w:rsidR="00000000" w:rsidRPr="00000000">
        <w:rPr>
          <w:rFonts w:ascii="Times New Roman" w:cs="Times New Roman" w:eastAsia="Times New Roman" w:hAnsi="Times New Roman"/>
          <w:b w:val="1"/>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Greentube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519287109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1.00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19628906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3204345703125" w:line="265.8934593200683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Smashing Sevens: Win Ways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426879882812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11962890625" w:line="263.894834518432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Smashing Sevens: Win Ways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sešu ruļļu un līdz 117 649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3173828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 simbols un bezmaksas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Kaskādes griezienu funkcija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“Gamble” funkcija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719970703125"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5810546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5202636718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178466796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44020" cy="419100"/>
            <wp:effectExtent b="0" l="0" r="0" t="0"/>
            <wp:docPr id="8"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44402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21240234375" w:line="231.9069099426269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“Bonus” simbolu, lai veidotu laimīgās  kombinācijas.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var parādīties tikai uz augšejā papildruļļa.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“Bonus” simbola un bezmaksas griezienu noteikumi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895155" cy="880110"/>
            <wp:effectExtent b="0" l="0" r="0" t="0"/>
            <wp:docPr id="2"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95155" cy="88011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“Bonus” simols pamatspēles laika var parādīties uz jebkura ruļļa.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3, 4, 5 vai 6 “Bonus” simboli piešķir 8, 12, 16 vai 20 bezmaksas griezienus attiecīgi.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Bezmaksas griezienu laikā “Bonus” simbols var parādīties tikai uz augšejā papildruļļa.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Bezmaksas griezienu laikā 3 vai 4 “Bonus” simboli piešķir papildus 4 vai 8 bezmaksas  griezienus attiecīgi.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77587890625" w:line="227.90867328643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Bezmaksas griezienu laikā ir aktīvs laiumesta reizinātājs, kas sākas ar x1 un palielinās par  +1 pēc katras laimīgās kaskādes.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59.8161411285400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Bezmaksas griezieni tiek izspēlēti ar tādu pašu liki, ar kādu tika aktivizēti.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459.81614112854004"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Kaskādes griezienu funkcijas noteikumi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9007148742675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Ja pamatspēles vai bezmaksas griezienu laikā ir izveidojusies laimīgā kombinācija, visi  laimējošie simboli tiek novākti no laukuma uz aizstāti no augšas ar jauniem simboliem.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36865234375" w:line="247.9007148742675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Pārveidotais lauks tiek atkārtoti novertēts un laimīgās kombinācijas tiek izmaksātas.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9036865234375" w:line="247.9007148742675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Kaskādes griezienu funkcija turpinās līdz nerodas jaunas laimīgās kombinācijas.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619812011718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“Gamble” funkcijas noteikumi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8306541442871"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Spēlētājam ir iespēja izmantot “Gamble”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3385" cy="247324"/>
            <wp:effectExtent b="0" l="0" r="0" t="0"/>
            <wp:docPr id="9"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413385" cy="2473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opciju pēc katra laimesta, vai savākt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77520" cy="292038"/>
            <wp:effectExtent b="0" l="0" r="0" t="0"/>
            <wp:docPr id="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77520" cy="29203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esošo summu un turpināt spēli.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Spēlētājam ir nepieciešams minēt kārts krāsu.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Ja kārts krāsa tiek uzminēta, laimests tiek dubultots.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Ja kārts krāsa netiek uzminēta, laimests tiek anulēts.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4707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7148437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194824218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807861328125" w:line="377.878847122192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paaugstinātu vai pazeminātu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63354" cy="291465"/>
            <wp:effectExtent b="0" l="0" r="0" t="0"/>
            <wp:docPr id="4"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63354" cy="291465"/>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77.8788471221924"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0412" cy="332105"/>
            <wp:effectExtent b="0" l="0" r="0" t="0"/>
            <wp:docPr id="7"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520412" cy="33210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sāk griezties ar jūsu izvēlēto likmi.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5937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47557449340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griezīsies Automātiskajā režīmā ar jūsu izvēlēto likmi: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4579" cy="340995"/>
            <wp:effectExtent b="0" l="0" r="0" t="0"/>
            <wp:docPr id="6"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304579" cy="34099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44.947557449340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Apturēt Automātisko režīmu var vēlreiz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9307861328125" w:line="263.89434814453125"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4.825439453125"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Pirmajam kombinācijas simbolam jāatrodas uz 1.ruļļa.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875" w:line="263.8948345184326" w:lineRule="auto"/>
        <w:ind w:left="216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Regulārās izmaksas parādītas izmaksu attēlos. Izmaksas parādītas ar likmi 1.00 EUR.  Palielinot likmi, proporcionāli palielinās līniju izmaksas: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46533203125"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215227" cy="2089150"/>
            <wp:effectExtent b="0" l="0" r="0" t="0"/>
            <wp:docPr id="3"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215227" cy="208915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85434150695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Līnijas, kas redzamas attēlā, parāda iespējamās izmaksas līniju formas: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19384765625" w:line="255.2923107147216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808220" cy="1657192"/>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808220" cy="1657192"/>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119384765625" w:line="255.29231071472168"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r w:rsidDel="00000000" w:rsidR="00000000" w:rsidRPr="00000000">
        <w:rPr>
          <w:rFonts w:ascii="Times New Roman" w:cs="Times New Roman" w:eastAsia="Times New Roman" w:hAnsi="Times New Roman"/>
          <w:sz w:val="24"/>
          <w:szCs w:val="24"/>
          <w:rtl w:val="0"/>
        </w:rPr>
        <w:t xml:space="preserve">Laimests tiek automātiski ieskaitīts klienta Spins.lv kontā. </w:t>
      </w:r>
      <w:r w:rsidDel="00000000" w:rsidR="00000000" w:rsidRPr="00000000">
        <w:rPr>
          <w:rFonts w:ascii="Times New Roman" w:cs="Times New Roman" w:eastAsia="Times New Roman" w:hAnsi="Times New Roman"/>
          <w:sz w:val="24"/>
          <w:szCs w:val="24"/>
          <w:highlight w:val="white"/>
          <w:rtl w:val="0"/>
        </w:rPr>
        <w:t xml:space="preserve">Izmaksā tos laimestus, kas ir laimēti saskaņā ar tiešsaistes spēlē esošajiem spēles noteikumiem un laimējošo kombināciju tabulu.</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552734375"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38331604004"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53">
      <w:pPr>
        <w:spacing w:line="240" w:lineRule="auto"/>
        <w:ind w:left="1440" w:right="4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4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487.886962890625" w:top="1425.712890625" w:left="194.91399765014648" w:right="1378.46557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3.png"/><Relationship Id="rId13" Type="http://schemas.openxmlformats.org/officeDocument/2006/relationships/image" Target="media/image8.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2.png"/><Relationship Id="rId14" Type="http://schemas.openxmlformats.org/officeDocument/2006/relationships/image" Target="media/image9.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