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4F39" w14:textId="77777777" w:rsidR="004D5A3D"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3AD433F2" w14:textId="77777777" w:rsidR="004D5A3D" w:rsidRDefault="00000000">
      <w:pPr>
        <w:spacing w:line="240" w:lineRule="auto"/>
        <w:ind w:right="-30"/>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79D99683" w14:textId="77777777" w:rsidR="004D5A3D" w:rsidRDefault="00000000">
      <w:pPr>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2B702A5C" w14:textId="77777777" w:rsidR="004D5A3D" w:rsidRDefault="00000000">
      <w:pPr>
        <w:spacing w:line="240" w:lineRule="auto"/>
        <w:ind w:right="-3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0915CE30" w14:textId="77777777" w:rsidR="004D5A3D" w:rsidRDefault="00000000">
      <w:pPr>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2493B4D9" w14:textId="77777777" w:rsidR="004D5A3D" w:rsidRDefault="00000000">
      <w:pPr>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518D9F28" w14:textId="77777777" w:rsidR="004D5A3D" w:rsidRDefault="00000000">
      <w:pPr>
        <w:widowControl w:val="0"/>
        <w:pBdr>
          <w:top w:val="nil"/>
          <w:left w:val="nil"/>
          <w:bottom w:val="nil"/>
          <w:right w:val="nil"/>
          <w:between w:val="nil"/>
        </w:pBdr>
        <w:spacing w:before="550"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411F8F75" w14:textId="17DF85A8" w:rsidR="004D5A3D" w:rsidRDefault="00000000">
      <w:pPr>
        <w:widowControl w:val="0"/>
        <w:pBdr>
          <w:top w:val="nil"/>
          <w:left w:val="nil"/>
          <w:bottom w:val="nil"/>
          <w:right w:val="nil"/>
          <w:between w:val="nil"/>
        </w:pBdr>
        <w:spacing w:before="271"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Sea of Pearl</w:t>
      </w:r>
      <w:r w:rsidR="00530B12">
        <w:rPr>
          <w:rFonts w:ascii="Times New Roman" w:eastAsia="Times New Roman" w:hAnsi="Times New Roman" w:cs="Times New Roman"/>
          <w:b/>
          <w:color w:val="000000"/>
          <w:sz w:val="24"/>
          <w:szCs w:val="24"/>
          <w:highlight w:val="white"/>
          <w:lang w:val="lv-LV"/>
        </w:rPr>
        <w:t>s</w:t>
      </w:r>
      <w:r>
        <w:rPr>
          <w:rFonts w:ascii="Times New Roman" w:eastAsia="Times New Roman" w:hAnsi="Times New Roman" w:cs="Times New Roman"/>
          <w:b/>
          <w:color w:val="000000"/>
          <w:sz w:val="24"/>
          <w:szCs w:val="24"/>
          <w:highlight w:val="white"/>
        </w:rPr>
        <w:t xml:space="preserve"> The Pearl Game</w:t>
      </w:r>
      <w:r>
        <w:rPr>
          <w:rFonts w:ascii="Times New Roman" w:eastAsia="Times New Roman" w:hAnsi="Times New Roman" w:cs="Times New Roman"/>
          <w:b/>
          <w:color w:val="000000"/>
          <w:sz w:val="24"/>
          <w:szCs w:val="24"/>
        </w:rPr>
        <w:t xml:space="preserve"> </w:t>
      </w:r>
    </w:p>
    <w:p w14:paraId="72CF51BE" w14:textId="77777777" w:rsidR="004D5A3D"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167FE8DA" w14:textId="77777777" w:rsidR="004D5A3D"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Skywind Holdings Limited </w:t>
      </w:r>
    </w:p>
    <w:p w14:paraId="4414AC5E" w14:textId="77777777" w:rsidR="004D5A3D" w:rsidRDefault="00000000">
      <w:pPr>
        <w:widowControl w:val="0"/>
        <w:pBdr>
          <w:top w:val="nil"/>
          <w:left w:val="nil"/>
          <w:bottom w:val="nil"/>
          <w:right w:val="nil"/>
          <w:between w:val="nil"/>
        </w:pBdr>
        <w:spacing w:before="271"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68255C53" w14:textId="77777777" w:rsidR="004D5A3D" w:rsidRDefault="00000000">
      <w:pPr>
        <w:widowControl w:val="0"/>
        <w:pBdr>
          <w:top w:val="nil"/>
          <w:left w:val="nil"/>
          <w:bottom w:val="nil"/>
          <w:right w:val="nil"/>
          <w:between w:val="nil"/>
        </w:pBdr>
        <w:spacing w:before="27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Minimālā likme 0</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0 EUR </w:t>
      </w:r>
    </w:p>
    <w:p w14:paraId="7C53D59C" w14:textId="77777777" w:rsidR="004D5A3D"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8000.00 EUR </w:t>
      </w:r>
    </w:p>
    <w:p w14:paraId="3736AC5F" w14:textId="77777777" w:rsidR="004D5A3D" w:rsidRDefault="00000000">
      <w:pPr>
        <w:widowControl w:val="0"/>
        <w:pBdr>
          <w:top w:val="nil"/>
          <w:left w:val="nil"/>
          <w:bottom w:val="nil"/>
          <w:right w:val="nil"/>
          <w:between w:val="nil"/>
        </w:pBdr>
        <w:spacing w:before="550"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477F852A" w14:textId="69D3CD04" w:rsidR="004D5A3D" w:rsidRDefault="00000000">
      <w:pPr>
        <w:widowControl w:val="0"/>
        <w:pBdr>
          <w:top w:val="nil"/>
          <w:left w:val="nil"/>
          <w:bottom w:val="nil"/>
          <w:right w:val="nil"/>
          <w:between w:val="nil"/>
        </w:pBdr>
        <w:spacing w:before="271" w:line="22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“Spēļu  Automāti” spēlētājs nokļūst lapā, kur spēle tiek palaista,</w:t>
      </w:r>
      <w:r>
        <w:rPr>
          <w:rFonts w:ascii="Times New Roman" w:eastAsia="Times New Roman" w:hAnsi="Times New Roman" w:cs="Times New Roman"/>
          <w:color w:val="000000"/>
          <w:sz w:val="24"/>
          <w:szCs w:val="24"/>
        </w:rPr>
        <w:t xml:space="preserve"> nospiežot spēles ikonu “ </w:t>
      </w:r>
      <w:r>
        <w:rPr>
          <w:rFonts w:ascii="Times New Roman" w:eastAsia="Times New Roman" w:hAnsi="Times New Roman" w:cs="Times New Roman"/>
          <w:color w:val="000000"/>
          <w:sz w:val="24"/>
          <w:szCs w:val="24"/>
          <w:highlight w:val="white"/>
        </w:rPr>
        <w:t>Sea of Pearls The Pearl Game</w:t>
      </w:r>
      <w:r>
        <w:rPr>
          <w:rFonts w:ascii="Times New Roman" w:eastAsia="Times New Roman" w:hAnsi="Times New Roman" w:cs="Times New Roman"/>
          <w:color w:val="000000"/>
          <w:sz w:val="24"/>
          <w:szCs w:val="24"/>
        </w:rPr>
        <w:t xml:space="preserve">”. </w:t>
      </w:r>
    </w:p>
    <w:p w14:paraId="02246F22" w14:textId="77777777" w:rsidR="004D5A3D" w:rsidRDefault="00000000">
      <w:pPr>
        <w:widowControl w:val="0"/>
        <w:pBdr>
          <w:top w:val="nil"/>
          <w:left w:val="nil"/>
          <w:bottom w:val="nil"/>
          <w:right w:val="nil"/>
          <w:between w:val="nil"/>
        </w:pBdr>
        <w:spacing w:before="555"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color w:val="000000"/>
          <w:sz w:val="24"/>
          <w:szCs w:val="24"/>
        </w:rPr>
        <w:t xml:space="preserve">Spēles norise </w:t>
      </w:r>
    </w:p>
    <w:p w14:paraId="4AC81AC8" w14:textId="59554C86" w:rsidR="004D5A3D" w:rsidRDefault="00000000">
      <w:pPr>
        <w:widowControl w:val="0"/>
        <w:pBdr>
          <w:top w:val="nil"/>
          <w:left w:val="nil"/>
          <w:bottom w:val="nil"/>
          <w:right w:val="nil"/>
          <w:between w:val="nil"/>
        </w:pBdr>
        <w:spacing w:before="271" w:line="23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Sea of Pearls The Pearl Game</w:t>
      </w:r>
      <w:r>
        <w:rPr>
          <w:rFonts w:ascii="Times New Roman" w:eastAsia="Times New Roman" w:hAnsi="Times New Roman" w:cs="Times New Roman"/>
          <w:color w:val="000000"/>
          <w:sz w:val="24"/>
          <w:szCs w:val="24"/>
        </w:rPr>
        <w:t xml:space="preserve">“ ir piecu ruļļu un 89 izmaksas līniju spēļu automāts, kurā ir šādas iespējas: </w:t>
      </w:r>
    </w:p>
    <w:p w14:paraId="79B843AC" w14:textId="77777777" w:rsidR="004D5A3D" w:rsidRDefault="00000000">
      <w:pPr>
        <w:widowControl w:val="0"/>
        <w:pBdr>
          <w:top w:val="nil"/>
          <w:left w:val="nil"/>
          <w:bottom w:val="nil"/>
          <w:right w:val="nil"/>
          <w:between w:val="nil"/>
        </w:pBdr>
        <w:spacing w:before="284"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“Play it Your Way” funkcija </w:t>
      </w:r>
    </w:p>
    <w:p w14:paraId="2D09063C" w14:textId="77777777" w:rsidR="004D5A3D" w:rsidRDefault="00000000">
      <w:pPr>
        <w:widowControl w:val="0"/>
        <w:pBdr>
          <w:top w:val="nil"/>
          <w:left w:val="nil"/>
          <w:bottom w:val="nil"/>
          <w:right w:val="nil"/>
          <w:between w:val="nil"/>
        </w:pBdr>
        <w:spacing w:before="36"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Bezmaksas griezieni </w:t>
      </w:r>
    </w:p>
    <w:p w14:paraId="4E41033D" w14:textId="77777777" w:rsidR="004D5A3D" w:rsidRDefault="00000000">
      <w:pPr>
        <w:widowControl w:val="0"/>
        <w:pBdr>
          <w:top w:val="nil"/>
          <w:left w:val="nil"/>
          <w:bottom w:val="nil"/>
          <w:right w:val="nil"/>
          <w:between w:val="nil"/>
        </w:pBdr>
        <w:spacing w:before="36"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Mistiskais simbols </w:t>
      </w:r>
    </w:p>
    <w:p w14:paraId="2F261407" w14:textId="77777777" w:rsidR="004D5A3D" w:rsidRDefault="00000000">
      <w:pPr>
        <w:widowControl w:val="0"/>
        <w:pBdr>
          <w:top w:val="nil"/>
          <w:left w:val="nil"/>
          <w:bottom w:val="nil"/>
          <w:right w:val="nil"/>
          <w:between w:val="nil"/>
        </w:pBdr>
        <w:spacing w:before="36"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Džekpoti </w:t>
      </w:r>
    </w:p>
    <w:p w14:paraId="62DB145A" w14:textId="77777777" w:rsidR="004D5A3D" w:rsidRDefault="00000000">
      <w:pPr>
        <w:widowControl w:val="0"/>
        <w:pBdr>
          <w:top w:val="nil"/>
          <w:left w:val="nil"/>
          <w:bottom w:val="nil"/>
          <w:right w:val="nil"/>
          <w:between w:val="nil"/>
        </w:pBdr>
        <w:spacing w:before="310"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09A8A94D" w14:textId="77777777" w:rsidR="004D5A3D" w:rsidRDefault="00000000">
      <w:pPr>
        <w:widowControl w:val="0"/>
        <w:pBdr>
          <w:top w:val="nil"/>
          <w:left w:val="nil"/>
          <w:bottom w:val="nil"/>
          <w:right w:val="nil"/>
          <w:between w:val="nil"/>
        </w:pBdr>
        <w:spacing w:before="271" w:line="227"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tikai par lielāko laimīgo kombināciju no katras aktīvās izmaksas  līnijas.  </w:t>
      </w:r>
    </w:p>
    <w:p w14:paraId="267391F7" w14:textId="77777777" w:rsidR="004D5A3D" w:rsidRDefault="00000000">
      <w:pPr>
        <w:widowControl w:val="0"/>
        <w:pBdr>
          <w:top w:val="nil"/>
          <w:left w:val="nil"/>
          <w:bottom w:val="nil"/>
          <w:right w:val="nil"/>
          <w:between w:val="nil"/>
        </w:pBdr>
        <w:spacing w:before="10"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w:t>
      </w:r>
    </w:p>
    <w:p w14:paraId="3AB383E7" w14:textId="77777777" w:rsidR="004D5A3D"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Bonusa spēles laimesti tiek pieskaitīti izmaksas līnijas laimestiem.  </w:t>
      </w:r>
    </w:p>
    <w:p w14:paraId="13D80039" w14:textId="77777777" w:rsidR="004D5A3D"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Nepareiza darbība atceļ visas spēles un izmaksas.</w:t>
      </w:r>
    </w:p>
    <w:p w14:paraId="608D533C" w14:textId="77777777" w:rsidR="004D5A3D" w:rsidRDefault="004D5A3D">
      <w:pPr>
        <w:widowControl w:val="0"/>
        <w:pBdr>
          <w:top w:val="nil"/>
          <w:left w:val="nil"/>
          <w:bottom w:val="nil"/>
          <w:right w:val="nil"/>
          <w:between w:val="nil"/>
        </w:pBdr>
        <w:spacing w:line="240" w:lineRule="auto"/>
        <w:ind w:right="-30"/>
        <w:rPr>
          <w:rFonts w:ascii="Times New Roman" w:eastAsia="Times New Roman" w:hAnsi="Times New Roman" w:cs="Times New Roman"/>
          <w:b/>
          <w:i/>
          <w:sz w:val="24"/>
          <w:szCs w:val="24"/>
        </w:rPr>
      </w:pPr>
    </w:p>
    <w:p w14:paraId="28BF1E68" w14:textId="77777777" w:rsidR="004D5A3D"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46FE4E0D" w14:textId="77777777" w:rsidR="004D5A3D" w:rsidRDefault="00000000">
      <w:pPr>
        <w:widowControl w:val="0"/>
        <w:pBdr>
          <w:top w:val="nil"/>
          <w:left w:val="nil"/>
          <w:bottom w:val="nil"/>
          <w:right w:val="nil"/>
          <w:between w:val="nil"/>
        </w:pBdr>
        <w:spacing w:before="275"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2505337F" w14:textId="77777777" w:rsidR="004D5A3D" w:rsidRDefault="00000000">
      <w:pPr>
        <w:widowControl w:val="0"/>
        <w:pBdr>
          <w:top w:val="nil"/>
          <w:left w:val="nil"/>
          <w:bottom w:val="nil"/>
          <w:right w:val="nil"/>
          <w:between w:val="nil"/>
        </w:pBdr>
        <w:spacing w:before="27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Nepareiza darbība atceļ visas spēles un izmaksas. </w:t>
      </w:r>
    </w:p>
    <w:p w14:paraId="539562C1" w14:textId="77777777" w:rsidR="004D5A3D" w:rsidRDefault="00000000">
      <w:pPr>
        <w:widowControl w:val="0"/>
        <w:pBdr>
          <w:top w:val="nil"/>
          <w:left w:val="nil"/>
          <w:bottom w:val="nil"/>
          <w:right w:val="nil"/>
          <w:between w:val="nil"/>
        </w:pBdr>
        <w:spacing w:before="271"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“Play it Your Way” funkcijas notiekumi </w:t>
      </w:r>
    </w:p>
    <w:p w14:paraId="24FA7B3A" w14:textId="77777777" w:rsidR="004D5A3D" w:rsidRDefault="00000000">
      <w:pPr>
        <w:widowControl w:val="0"/>
        <w:pBdr>
          <w:top w:val="nil"/>
          <w:left w:val="nil"/>
          <w:bottom w:val="nil"/>
          <w:right w:val="nil"/>
          <w:between w:val="nil"/>
        </w:pBdr>
        <w:spacing w:before="64"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38BAE87E" wp14:editId="7575ED81">
            <wp:extent cx="753745" cy="4191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53745" cy="419100"/>
                    </a:xfrm>
                    <a:prstGeom prst="rect">
                      <a:avLst/>
                    </a:prstGeom>
                    <a:ln/>
                  </pic:spPr>
                </pic:pic>
              </a:graphicData>
            </a:graphic>
          </wp:inline>
        </w:drawing>
      </w:r>
    </w:p>
    <w:p w14:paraId="3856363D" w14:textId="77777777" w:rsidR="004D5A3D"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“Play it Your Way” funkcija tiek aktivizēta pēc katra grieziena. </w:t>
      </w:r>
    </w:p>
    <w:p w14:paraId="5E6B97A7" w14:textId="77777777" w:rsidR="004D5A3D" w:rsidRDefault="00000000">
      <w:pPr>
        <w:widowControl w:val="0"/>
        <w:pBdr>
          <w:top w:val="nil"/>
          <w:left w:val="nil"/>
          <w:bottom w:val="nil"/>
          <w:right w:val="nil"/>
          <w:between w:val="nil"/>
        </w:pBdr>
        <w:spacing w:line="245"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“Play it Your Way” funkcija, kas ir aktivizēta pamatspēles laikā, sākas ar līmeni, kuru  nosaka simboli uz aktīvā spēles laukuma - </w:t>
      </w:r>
      <w:r>
        <w:rPr>
          <w:rFonts w:ascii="Times New Roman" w:eastAsia="Times New Roman" w:hAnsi="Times New Roman" w:cs="Times New Roman"/>
          <w:noProof/>
          <w:color w:val="000000"/>
          <w:sz w:val="24"/>
          <w:szCs w:val="24"/>
        </w:rPr>
        <w:drawing>
          <wp:inline distT="19050" distB="19050" distL="19050" distR="19050" wp14:anchorId="482575DC" wp14:editId="60274679">
            <wp:extent cx="1135591" cy="276860"/>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a:stretch>
                      <a:fillRect/>
                    </a:stretch>
                  </pic:blipFill>
                  <pic:spPr>
                    <a:xfrm>
                      <a:off x="0" y="0"/>
                      <a:ext cx="1135591" cy="276860"/>
                    </a:xfrm>
                    <a:prstGeom prst="rect">
                      <a:avLst/>
                    </a:prstGeom>
                    <a:ln/>
                  </pic:spPr>
                </pic:pic>
              </a:graphicData>
            </a:graphic>
          </wp:inline>
        </w:drawing>
      </w:r>
      <w:r>
        <w:rPr>
          <w:rFonts w:ascii="Times New Roman" w:eastAsia="Times New Roman" w:hAnsi="Times New Roman" w:cs="Times New Roman"/>
          <w:color w:val="000000"/>
          <w:sz w:val="24"/>
          <w:szCs w:val="24"/>
        </w:rPr>
        <w:t xml:space="preserve">vai </w:t>
      </w:r>
      <w:r>
        <w:rPr>
          <w:rFonts w:ascii="Times New Roman" w:eastAsia="Times New Roman" w:hAnsi="Times New Roman" w:cs="Times New Roman"/>
          <w:noProof/>
          <w:color w:val="000000"/>
          <w:sz w:val="24"/>
          <w:szCs w:val="24"/>
        </w:rPr>
        <w:drawing>
          <wp:inline distT="19050" distB="19050" distL="19050" distR="19050" wp14:anchorId="5DC769B8" wp14:editId="462FA8E9">
            <wp:extent cx="266700" cy="2667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66700" cy="2667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14:paraId="60A5C52C" w14:textId="77777777" w:rsidR="004D5A3D" w:rsidRDefault="00000000">
      <w:pPr>
        <w:widowControl w:val="0"/>
        <w:pBdr>
          <w:top w:val="nil"/>
          <w:left w:val="nil"/>
          <w:bottom w:val="nil"/>
          <w:right w:val="nil"/>
          <w:between w:val="nil"/>
        </w:pBdr>
        <w:spacing w:line="237"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“Play it Your Way” funkcijas laikā katrā līmenī spēlētājam ir 3 izvēles: </w:t>
      </w:r>
    </w:p>
    <w:p w14:paraId="528A0B37" w14:textId="77777777" w:rsidR="004D5A3D" w:rsidRDefault="00000000">
      <w:pPr>
        <w:widowControl w:val="0"/>
        <w:pBdr>
          <w:top w:val="nil"/>
          <w:left w:val="nil"/>
          <w:bottom w:val="nil"/>
          <w:right w:val="nil"/>
          <w:between w:val="nil"/>
        </w:pBdr>
        <w:spacing w:line="23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Spēlētājs var izvēlēties savākt bezmaksas griezienus, kuru skaits ir vienāds ar  “Play it Your Way” funkcijas līmeni; </w:t>
      </w:r>
    </w:p>
    <w:p w14:paraId="14DD1BD8" w14:textId="77777777" w:rsidR="004D5A3D" w:rsidRDefault="00000000">
      <w:pPr>
        <w:widowControl w:val="0"/>
        <w:pBdr>
          <w:top w:val="nil"/>
          <w:left w:val="nil"/>
          <w:bottom w:val="nil"/>
          <w:right w:val="nil"/>
          <w:between w:val="nil"/>
        </w:pBdr>
        <w:spacing w:before="14" w:line="234"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Spēlētājs var izmantot “Gamble” opciju lai iegūtu iespēju paaugstināt līmeni; </w:t>
      </w:r>
    </w:p>
    <w:p w14:paraId="0181DF4D" w14:textId="77777777" w:rsidR="004D5A3D" w:rsidRDefault="00000000">
      <w:pPr>
        <w:widowControl w:val="0"/>
        <w:pBdr>
          <w:top w:val="nil"/>
          <w:left w:val="nil"/>
          <w:bottom w:val="nil"/>
          <w:right w:val="nil"/>
          <w:between w:val="nil"/>
        </w:pBdr>
        <w:spacing w:before="14" w:line="234"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Spēlētājs var izvēlēties spēlēt par mistisko balvu norādītajā diapazonā. </w:t>
      </w:r>
    </w:p>
    <w:p w14:paraId="6E60386E" w14:textId="77777777" w:rsidR="004D5A3D" w:rsidRDefault="00000000">
      <w:pPr>
        <w:widowControl w:val="0"/>
        <w:pBdr>
          <w:top w:val="nil"/>
          <w:left w:val="nil"/>
          <w:bottom w:val="nil"/>
          <w:right w:val="nil"/>
          <w:between w:val="nil"/>
        </w:pBdr>
        <w:spacing w:before="14" w:line="234"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Ja spēlētājs izvēlas “Gamble” opciju, apstāšanās zaļajā zonā paaugstina līmeni,  apstāšanās sarkanajā zonā anulē laimestu. </w:t>
      </w:r>
    </w:p>
    <w:p w14:paraId="7C61BB49" w14:textId="77777777" w:rsidR="004D5A3D" w:rsidRDefault="00000000">
      <w:pPr>
        <w:widowControl w:val="0"/>
        <w:pBdr>
          <w:top w:val="nil"/>
          <w:left w:val="nil"/>
          <w:bottom w:val="nil"/>
          <w:right w:val="nil"/>
          <w:between w:val="nil"/>
        </w:pBdr>
        <w:spacing w:before="277"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Bezmkasas griezienu notiekumi </w:t>
      </w:r>
    </w:p>
    <w:p w14:paraId="4C5AD77B" w14:textId="77777777" w:rsidR="004D5A3D" w:rsidRDefault="00000000">
      <w:pPr>
        <w:widowControl w:val="0"/>
        <w:pBdr>
          <w:top w:val="nil"/>
          <w:left w:val="nil"/>
          <w:bottom w:val="nil"/>
          <w:right w:val="nil"/>
          <w:between w:val="nil"/>
        </w:pBdr>
        <w:spacing w:before="14"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2D6FD028" wp14:editId="35915C62">
            <wp:extent cx="1243048" cy="481330"/>
            <wp:effectExtent l="0" t="0" r="0" b="0"/>
            <wp:docPr id="1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1243048" cy="481330"/>
                    </a:xfrm>
                    <a:prstGeom prst="rect">
                      <a:avLst/>
                    </a:prstGeom>
                    <a:ln/>
                  </pic:spPr>
                </pic:pic>
              </a:graphicData>
            </a:graphic>
          </wp:inline>
        </w:drawing>
      </w:r>
    </w:p>
    <w:p w14:paraId="54095C2E" w14:textId="77777777" w:rsidR="004D5A3D" w:rsidRDefault="00000000">
      <w:pPr>
        <w:widowControl w:val="0"/>
        <w:pBdr>
          <w:top w:val="nil"/>
          <w:left w:val="nil"/>
          <w:bottom w:val="nil"/>
          <w:right w:val="nil"/>
          <w:between w:val="nil"/>
        </w:pBdr>
        <w:spacing w:line="226"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Bezmaksas griezienu sākumā ir aktīvs pērļu metrs, kura vērtība no sākuma vienmēr ir 50. </w:t>
      </w:r>
    </w:p>
    <w:p w14:paraId="06222A08" w14:textId="77777777" w:rsidR="004D5A3D" w:rsidRDefault="00000000">
      <w:pPr>
        <w:widowControl w:val="0"/>
        <w:pBdr>
          <w:top w:val="nil"/>
          <w:left w:val="nil"/>
          <w:bottom w:val="nil"/>
          <w:right w:val="nil"/>
          <w:between w:val="nil"/>
        </w:pBdr>
        <w:spacing w:line="226"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Katru reizi, kad aktīvajā zonā apstajās pērļu simboli </w:t>
      </w:r>
      <w:r>
        <w:rPr>
          <w:rFonts w:ascii="Times New Roman" w:eastAsia="Times New Roman" w:hAnsi="Times New Roman" w:cs="Times New Roman"/>
          <w:noProof/>
          <w:color w:val="000000"/>
          <w:sz w:val="24"/>
          <w:szCs w:val="24"/>
        </w:rPr>
        <w:drawing>
          <wp:inline distT="19050" distB="19050" distL="19050" distR="19050" wp14:anchorId="2491EAE1" wp14:editId="0CEC73F6">
            <wp:extent cx="1395823" cy="238760"/>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395823" cy="238760"/>
                    </a:xfrm>
                    <a:prstGeom prst="rect">
                      <a:avLst/>
                    </a:prstGeom>
                    <a:ln/>
                  </pic:spPr>
                </pic:pic>
              </a:graphicData>
            </a:graphic>
          </wp:inline>
        </w:drawing>
      </w:r>
      <w:r>
        <w:rPr>
          <w:rFonts w:ascii="Times New Roman" w:eastAsia="Times New Roman" w:hAnsi="Times New Roman" w:cs="Times New Roman"/>
          <w:color w:val="000000"/>
          <w:sz w:val="24"/>
          <w:szCs w:val="24"/>
        </w:rPr>
        <w:t xml:space="preserve">vai </w:t>
      </w:r>
      <w:r>
        <w:rPr>
          <w:rFonts w:ascii="Times New Roman" w:eastAsia="Times New Roman" w:hAnsi="Times New Roman" w:cs="Times New Roman"/>
          <w:noProof/>
          <w:color w:val="000000"/>
          <w:sz w:val="24"/>
          <w:szCs w:val="24"/>
        </w:rPr>
        <w:drawing>
          <wp:inline distT="19050" distB="19050" distL="19050" distR="19050" wp14:anchorId="66295D03" wp14:editId="5BE22237">
            <wp:extent cx="266700" cy="266700"/>
            <wp:effectExtent l="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266700" cy="266700"/>
                    </a:xfrm>
                    <a:prstGeom prst="rect">
                      <a:avLst/>
                    </a:prstGeom>
                    <a:ln/>
                  </pic:spPr>
                </pic:pic>
              </a:graphicData>
            </a:graphic>
          </wp:inline>
        </w:drawing>
      </w:r>
      <w:r>
        <w:rPr>
          <w:rFonts w:ascii="Times New Roman" w:eastAsia="Times New Roman" w:hAnsi="Times New Roman" w:cs="Times New Roman"/>
          <w:color w:val="000000"/>
          <w:sz w:val="24"/>
          <w:szCs w:val="24"/>
        </w:rPr>
        <w:t xml:space="preserve">, pērļu  metra samazinās par attiecīgo skaitu. </w:t>
      </w:r>
    </w:p>
    <w:p w14:paraId="67B315CC" w14:textId="77777777" w:rsidR="004D5A3D" w:rsidRDefault="00000000">
      <w:pPr>
        <w:widowControl w:val="0"/>
        <w:pBdr>
          <w:top w:val="nil"/>
          <w:left w:val="nil"/>
          <w:bottom w:val="nil"/>
          <w:right w:val="nil"/>
          <w:between w:val="nil"/>
        </w:pBdr>
        <w:spacing w:before="1" w:line="235"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Katru reizi, kad pērļu metrs sasniedz 0, tiek aktivizēta viena no sekojošām funkcijām: </w:t>
      </w:r>
    </w:p>
    <w:p w14:paraId="5C582958" w14:textId="77777777" w:rsidR="004D5A3D" w:rsidRDefault="00000000">
      <w:pPr>
        <w:widowControl w:val="0"/>
        <w:pBdr>
          <w:top w:val="nil"/>
          <w:left w:val="nil"/>
          <w:bottom w:val="nil"/>
          <w:right w:val="nil"/>
          <w:between w:val="nil"/>
        </w:pBdr>
        <w:spacing w:before="1" w:line="235"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Pērļu metrs sasniedz 0 pirmo reizi – Zilās nāras pārvēršas par mistisko simbolu,  Pērļu metrs tiek atiestatīts uz 50 un tiek piešķirti +2 bezmaksas griezieni; </w:t>
      </w:r>
    </w:p>
    <w:p w14:paraId="3D3706EF" w14:textId="77777777" w:rsidR="004D5A3D" w:rsidRDefault="00000000">
      <w:pPr>
        <w:widowControl w:val="0"/>
        <w:pBdr>
          <w:top w:val="nil"/>
          <w:left w:val="nil"/>
          <w:bottom w:val="nil"/>
          <w:right w:val="nil"/>
          <w:between w:val="nil"/>
        </w:pBdr>
        <w:spacing w:before="21" w:line="22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Pērļu metrs sasniedz 0 otro reizi – Oranžās nāras pārvēršas par mistisko simbolu,  Pērļu metrs tiek atiestatīts uz 50 un tiek piešķirti +2 bezmaksas griezieni; </w:t>
      </w:r>
    </w:p>
    <w:p w14:paraId="0311E33B" w14:textId="77777777" w:rsidR="004D5A3D" w:rsidRDefault="00000000">
      <w:pPr>
        <w:widowControl w:val="0"/>
        <w:pBdr>
          <w:top w:val="nil"/>
          <w:left w:val="nil"/>
          <w:bottom w:val="nil"/>
          <w:right w:val="nil"/>
          <w:between w:val="nil"/>
        </w:pBdr>
        <w:spacing w:before="24" w:line="22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Pērļu metrs sasniedz 0 trešo reizi – Lillās nāras pārvēršas par mistisko simbolu,  Pērļu metrs tiek atiestatīts uz 50 un tiek piešķirti +2 bezmaksas griezieni; </w:t>
      </w:r>
    </w:p>
    <w:p w14:paraId="60471131" w14:textId="77777777" w:rsidR="004D5A3D" w:rsidRDefault="00000000">
      <w:pPr>
        <w:widowControl w:val="0"/>
        <w:pBdr>
          <w:top w:val="nil"/>
          <w:left w:val="nil"/>
          <w:bottom w:val="nil"/>
          <w:right w:val="nil"/>
          <w:between w:val="nil"/>
        </w:pBdr>
        <w:spacing w:before="29" w:line="22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Pērļu metrs sasniedz 0 ceturto reizi – Rozā nāras pārvēršas par mistisko simbolu,  Pērļu metrs tiek atiestatīts uz 50 un tiek piešķirti +2 bezmaksas griezieni; </w:t>
      </w:r>
    </w:p>
    <w:p w14:paraId="216B7EF0" w14:textId="77777777" w:rsidR="004D5A3D" w:rsidRDefault="00000000">
      <w:pPr>
        <w:widowControl w:val="0"/>
        <w:pBdr>
          <w:top w:val="nil"/>
          <w:left w:val="nil"/>
          <w:bottom w:val="nil"/>
          <w:right w:val="nil"/>
          <w:between w:val="nil"/>
        </w:pBdr>
        <w:spacing w:before="24" w:line="234"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Pērļu metrs sasniedz 0 piekto reizi – Sarkanās nāras pārvēršas par mistisko  simbolu, Pērļu metrs tiek atiestatīts uz 50 un tiek piešķirti +2 bezmaksas griezieni </w:t>
      </w:r>
    </w:p>
    <w:p w14:paraId="33F18A84" w14:textId="77777777" w:rsidR="004D5A3D" w:rsidRDefault="00000000">
      <w:pPr>
        <w:widowControl w:val="0"/>
        <w:pBdr>
          <w:top w:val="nil"/>
          <w:left w:val="nil"/>
          <w:bottom w:val="nil"/>
          <w:right w:val="nil"/>
          <w:between w:val="nil"/>
        </w:pBdr>
        <w:spacing w:before="24" w:line="234"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Pērļu metrs sasniedz 0 sesto reizi – Zelta nāras pārvēršas par zelta mistisko  simbolu un tiek piešķirti +2 bezmaksas griezieni. </w:t>
      </w:r>
    </w:p>
    <w:p w14:paraId="545BAED0" w14:textId="77777777" w:rsidR="004D5A3D" w:rsidRDefault="00000000">
      <w:pPr>
        <w:widowControl w:val="0"/>
        <w:pBdr>
          <w:top w:val="nil"/>
          <w:left w:val="nil"/>
          <w:bottom w:val="nil"/>
          <w:right w:val="nil"/>
          <w:between w:val="nil"/>
        </w:pBdr>
        <w:spacing w:before="20" w:line="217"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Simboli </w:t>
      </w:r>
      <w:r>
        <w:rPr>
          <w:rFonts w:ascii="Times New Roman" w:eastAsia="Times New Roman" w:hAnsi="Times New Roman" w:cs="Times New Roman"/>
          <w:noProof/>
          <w:color w:val="000000"/>
          <w:sz w:val="24"/>
          <w:szCs w:val="24"/>
        </w:rPr>
        <w:drawing>
          <wp:inline distT="19050" distB="19050" distL="19050" distR="19050" wp14:anchorId="0D4787ED" wp14:editId="0C3650D0">
            <wp:extent cx="1332124" cy="23558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332124" cy="235585"/>
                    </a:xfrm>
                    <a:prstGeom prst="rect">
                      <a:avLst/>
                    </a:prstGeom>
                    <a:ln/>
                  </pic:spPr>
                </pic:pic>
              </a:graphicData>
            </a:graphic>
          </wp:inline>
        </w:drawing>
      </w:r>
      <w:r>
        <w:rPr>
          <w:rFonts w:ascii="Times New Roman" w:eastAsia="Times New Roman" w:hAnsi="Times New Roman" w:cs="Times New Roman"/>
          <w:color w:val="000000"/>
          <w:sz w:val="24"/>
          <w:szCs w:val="24"/>
        </w:rPr>
        <w:t xml:space="preserve">un zelta mistiskais simbols parādās tikai bezmaksas  griezienu laikā. </w:t>
      </w:r>
    </w:p>
    <w:p w14:paraId="5C4E38A1" w14:textId="77777777" w:rsidR="004D5A3D" w:rsidRDefault="00000000">
      <w:pPr>
        <w:widowControl w:val="0"/>
        <w:pBdr>
          <w:top w:val="nil"/>
          <w:left w:val="nil"/>
          <w:bottom w:val="nil"/>
          <w:right w:val="nil"/>
          <w:between w:val="nil"/>
        </w:pBdr>
        <w:spacing w:before="5"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Bezmaksas griezieni tiek izspēlēti ar tādu pašu likmi, ar kādu tika aktivizēti.</w:t>
      </w:r>
    </w:p>
    <w:p w14:paraId="3FDF54E0" w14:textId="77777777" w:rsidR="004D5A3D" w:rsidRDefault="004D5A3D">
      <w:pPr>
        <w:widowControl w:val="0"/>
        <w:pBdr>
          <w:top w:val="nil"/>
          <w:left w:val="nil"/>
          <w:bottom w:val="nil"/>
          <w:right w:val="nil"/>
          <w:between w:val="nil"/>
        </w:pBdr>
        <w:spacing w:line="240" w:lineRule="auto"/>
        <w:ind w:right="-30"/>
        <w:rPr>
          <w:rFonts w:ascii="Times New Roman" w:eastAsia="Times New Roman" w:hAnsi="Times New Roman" w:cs="Times New Roman"/>
          <w:b/>
          <w:i/>
          <w:sz w:val="24"/>
          <w:szCs w:val="24"/>
        </w:rPr>
      </w:pPr>
    </w:p>
    <w:p w14:paraId="75C7EDCA" w14:textId="77777777" w:rsidR="004D5A3D"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Mistiskā simbola notiekumi </w:t>
      </w:r>
    </w:p>
    <w:p w14:paraId="11FA451D" w14:textId="77777777" w:rsidR="004D5A3D" w:rsidRDefault="00000000">
      <w:pPr>
        <w:widowControl w:val="0"/>
        <w:pBdr>
          <w:top w:val="nil"/>
          <w:left w:val="nil"/>
          <w:bottom w:val="nil"/>
          <w:right w:val="nil"/>
          <w:between w:val="nil"/>
        </w:pBdr>
        <w:spacing w:before="271" w:line="240" w:lineRule="auto"/>
        <w:ind w:right="-30"/>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w:lastRenderedPageBreak/>
        <w:drawing>
          <wp:inline distT="19050" distB="19050" distL="19050" distR="19050" wp14:anchorId="1AC6FA81" wp14:editId="5E84F084">
            <wp:extent cx="1245235" cy="81915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245235" cy="819150"/>
                    </a:xfrm>
                    <a:prstGeom prst="rect">
                      <a:avLst/>
                    </a:prstGeom>
                    <a:ln/>
                  </pic:spPr>
                </pic:pic>
              </a:graphicData>
            </a:graphic>
          </wp:inline>
        </w:drawing>
      </w:r>
    </w:p>
    <w:p w14:paraId="493A1E36" w14:textId="77777777" w:rsidR="004D5A3D" w:rsidRDefault="00000000">
      <w:pPr>
        <w:widowControl w:val="0"/>
        <w:pBdr>
          <w:top w:val="nil"/>
          <w:left w:val="nil"/>
          <w:bottom w:val="nil"/>
          <w:right w:val="nil"/>
          <w:between w:val="nil"/>
        </w:pBdr>
        <w:spacing w:before="27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Mistiskais simbols var parādīties uz jebkura ruļļa tikai bezmaksas  </w:t>
      </w:r>
    </w:p>
    <w:p w14:paraId="55A5CBB1" w14:textId="77777777" w:rsidR="004D5A3D"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griezienu laikā. </w:t>
      </w:r>
    </w:p>
    <w:p w14:paraId="5484297B" w14:textId="77777777" w:rsidR="004D5A3D" w:rsidRDefault="00000000">
      <w:pPr>
        <w:widowControl w:val="0"/>
        <w:pBdr>
          <w:top w:val="nil"/>
          <w:left w:val="nil"/>
          <w:bottom w:val="nil"/>
          <w:right w:val="nil"/>
          <w:between w:val="nil"/>
        </w:pBdr>
        <w:spacing w:line="227"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Kad uz spēles laukuma parādās mistiskais simbols, tas atklāj pērli vai  vienu no nāru simboliem: </w:t>
      </w:r>
    </w:p>
    <w:p w14:paraId="6D3827E7" w14:textId="77777777" w:rsidR="004D5A3D" w:rsidRDefault="00000000">
      <w:pPr>
        <w:widowControl w:val="0"/>
        <w:pBdr>
          <w:top w:val="nil"/>
          <w:left w:val="nil"/>
          <w:bottom w:val="nil"/>
          <w:right w:val="nil"/>
          <w:between w:val="nil"/>
        </w:pBdr>
        <w:spacing w:before="562"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Džekpotu notiekumi </w:t>
      </w:r>
    </w:p>
    <w:p w14:paraId="1E5FA90E" w14:textId="77777777" w:rsidR="004D5A3D" w:rsidRDefault="00000000">
      <w:pPr>
        <w:widowControl w:val="0"/>
        <w:pBdr>
          <w:top w:val="nil"/>
          <w:left w:val="nil"/>
          <w:bottom w:val="nil"/>
          <w:right w:val="nil"/>
          <w:between w:val="nil"/>
        </w:pBdr>
        <w:spacing w:before="276"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Apmēra Džekpots (ja pieejams ražotāja konfigurācijā) </w:t>
      </w:r>
    </w:p>
    <w:p w14:paraId="56E5335C" w14:textId="77777777" w:rsidR="004D5A3D" w:rsidRDefault="00000000">
      <w:pPr>
        <w:widowControl w:val="0"/>
        <w:pBdr>
          <w:top w:val="nil"/>
          <w:left w:val="nil"/>
          <w:bottom w:val="nil"/>
          <w:right w:val="nil"/>
          <w:between w:val="nil"/>
        </w:pBdr>
        <w:spacing w:before="31" w:line="22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Šim džekpotam ir garantēta izmaksa tā laimesta gadījumā pirms tas sasniedz operatora noteikto  summu, kas ir redzama spēles logā. Iespēja laimēt šo džekpotu palielinās līdz ar džekpota  uzkrājuma pieaugumu, līdz pat 100% iespējai, kad noteiktā summa ir sasniegta. Šo džekpotu ir iespējams laimēt jebkurā brīdī un to var laimēt tikai viens spēlētājs. Tiklīdz  Apmēra Džekpots ir laimēts, kļūst pieejams jauns Apmēra Džekpots. </w:t>
      </w:r>
    </w:p>
    <w:p w14:paraId="31F02FE2" w14:textId="77777777" w:rsidR="004D5A3D" w:rsidRDefault="00000000">
      <w:pPr>
        <w:widowControl w:val="0"/>
        <w:pBdr>
          <w:top w:val="nil"/>
          <w:left w:val="nil"/>
          <w:bottom w:val="nil"/>
          <w:right w:val="nil"/>
          <w:between w:val="nil"/>
        </w:pBdr>
        <w:spacing w:before="8"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Džekpota sākotnējo minimālo summu nosaka operators. </w:t>
      </w:r>
    </w:p>
    <w:p w14:paraId="6669B44F" w14:textId="77777777" w:rsidR="004D5A3D" w:rsidRDefault="00000000">
      <w:pPr>
        <w:widowControl w:val="0"/>
        <w:pBdr>
          <w:top w:val="nil"/>
          <w:left w:val="nil"/>
          <w:bottom w:val="nil"/>
          <w:right w:val="nil"/>
          <w:between w:val="nil"/>
        </w:pBdr>
        <w:spacing w:before="271"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Laika Džekpots (ja pieejams ražotāja konfigurācijā) </w:t>
      </w:r>
    </w:p>
    <w:p w14:paraId="00373849" w14:textId="77777777" w:rsidR="004D5A3D" w:rsidRDefault="00000000">
      <w:pPr>
        <w:widowControl w:val="0"/>
        <w:pBdr>
          <w:top w:val="nil"/>
          <w:left w:val="nil"/>
          <w:bottom w:val="nil"/>
          <w:right w:val="nil"/>
          <w:between w:val="nil"/>
        </w:pBdr>
        <w:spacing w:line="22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Šim džekpotam ir garantēta izmaksa tā laimesta gadījumā pirms tas sasniedz operatora noteikto  datumu un laiku, kas ir redzams spēles logā. Iespēja laimēt šo džekpotu palielinās laika gaitā,  līdz pat 100% iespējai, kad noteiktais datums un laiks ir pienācis. </w:t>
      </w:r>
    </w:p>
    <w:p w14:paraId="6176E61D" w14:textId="77777777" w:rsidR="004D5A3D" w:rsidRDefault="00000000">
      <w:pPr>
        <w:widowControl w:val="0"/>
        <w:pBdr>
          <w:top w:val="nil"/>
          <w:left w:val="nil"/>
          <w:bottom w:val="nil"/>
          <w:right w:val="nil"/>
          <w:between w:val="nil"/>
        </w:pBdr>
        <w:spacing w:before="8" w:line="227"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Šo džekpotu ir iespējams laimēt jebkurā brīdī un to var laimēt tikai viens spēlētājs. Tiklīdz  Apmēra Džekpots ir laimēts, kļūst pieejams jauns Apmēra Džekpots. </w:t>
      </w:r>
    </w:p>
    <w:p w14:paraId="2966DD13" w14:textId="77777777" w:rsidR="004D5A3D" w:rsidRDefault="00000000">
      <w:pPr>
        <w:widowControl w:val="0"/>
        <w:pBdr>
          <w:top w:val="nil"/>
          <w:left w:val="nil"/>
          <w:bottom w:val="nil"/>
          <w:right w:val="nil"/>
          <w:between w:val="nil"/>
        </w:pBdr>
        <w:spacing w:before="10"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Džekpota sākotnējo minimāo summu nosaka operators. </w:t>
      </w:r>
    </w:p>
    <w:p w14:paraId="6A3BF166" w14:textId="77777777" w:rsidR="004D5A3D" w:rsidRDefault="00000000">
      <w:pPr>
        <w:widowControl w:val="0"/>
        <w:pBdr>
          <w:top w:val="nil"/>
          <w:left w:val="nil"/>
          <w:bottom w:val="nil"/>
          <w:right w:val="nil"/>
          <w:between w:val="nil"/>
        </w:pBdr>
        <w:spacing w:before="545"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Noteikumi  </w:t>
      </w:r>
    </w:p>
    <w:p w14:paraId="18A8CB8C" w14:textId="77777777" w:rsidR="004D5A3D" w:rsidRDefault="00000000">
      <w:pPr>
        <w:widowControl w:val="0"/>
        <w:pBdr>
          <w:top w:val="nil"/>
          <w:left w:val="nil"/>
          <w:bottom w:val="nil"/>
          <w:right w:val="nil"/>
          <w:between w:val="nil"/>
        </w:pBdr>
        <w:spacing w:before="271" w:line="227"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Jums tiek izmaksāts laimests tikai par lielāko laimīgo kombināciju no katras aktīvās  izmaksas līnijas. </w:t>
      </w:r>
    </w:p>
    <w:p w14:paraId="1E956625" w14:textId="77777777" w:rsidR="004D5A3D" w:rsidRDefault="00000000">
      <w:pPr>
        <w:widowControl w:val="0"/>
        <w:pBdr>
          <w:top w:val="nil"/>
          <w:left w:val="nil"/>
          <w:bottom w:val="nil"/>
          <w:right w:val="nil"/>
          <w:between w:val="nil"/>
        </w:pBdr>
        <w:spacing w:before="10"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Bonusa spēles laimesti tiek pieskaitīti izmaksas līnijas laimestiem. </w:t>
      </w:r>
    </w:p>
    <w:p w14:paraId="647C5A54" w14:textId="77777777" w:rsidR="004D5A3D" w:rsidRDefault="00000000">
      <w:pPr>
        <w:widowControl w:val="0"/>
        <w:pBdr>
          <w:top w:val="nil"/>
          <w:left w:val="nil"/>
          <w:bottom w:val="nil"/>
          <w:right w:val="nil"/>
          <w:between w:val="nil"/>
        </w:pBdr>
        <w:spacing w:line="23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Lai veidotos regulārās laimīgās kombinācijas, simboliem uz aktīvas izmaksas līnijas  jāatrodas blakus. </w:t>
      </w:r>
    </w:p>
    <w:p w14:paraId="11A22DE6" w14:textId="77777777" w:rsidR="004D5A3D" w:rsidRDefault="00000000">
      <w:pPr>
        <w:widowControl w:val="0"/>
        <w:pBdr>
          <w:top w:val="nil"/>
          <w:left w:val="nil"/>
          <w:bottom w:val="nil"/>
          <w:right w:val="nil"/>
          <w:between w:val="nil"/>
        </w:pBdr>
        <w:spacing w:before="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Nepareiza darbība atceļ visas spēles un izmaksas. </w:t>
      </w:r>
    </w:p>
    <w:p w14:paraId="15C77AD1" w14:textId="77777777" w:rsidR="004D5A3D" w:rsidRDefault="00000000">
      <w:pPr>
        <w:widowControl w:val="0"/>
        <w:pBdr>
          <w:top w:val="nil"/>
          <w:left w:val="nil"/>
          <w:bottom w:val="nil"/>
          <w:right w:val="nil"/>
          <w:between w:val="nil"/>
        </w:pBdr>
        <w:spacing w:before="550"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20BF687D" w14:textId="77777777" w:rsidR="004D5A3D" w:rsidRDefault="00000000">
      <w:pPr>
        <w:widowControl w:val="0"/>
        <w:pBdr>
          <w:top w:val="nil"/>
          <w:left w:val="nil"/>
          <w:bottom w:val="nil"/>
          <w:right w:val="nil"/>
          <w:between w:val="nil"/>
        </w:pBdr>
        <w:spacing w:before="275"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6A183E9A" w14:textId="77777777" w:rsidR="004D5A3D" w:rsidRDefault="00000000">
      <w:pPr>
        <w:widowControl w:val="0"/>
        <w:pBdr>
          <w:top w:val="nil"/>
          <w:left w:val="nil"/>
          <w:bottom w:val="nil"/>
          <w:right w:val="nil"/>
          <w:between w:val="nil"/>
        </w:pBdr>
        <w:spacing w:before="271" w:line="473"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Lai paaugstinātu vai pazeminātu likmes vērtību, lietojiet </w:t>
      </w:r>
      <w:r>
        <w:rPr>
          <w:rFonts w:ascii="Times New Roman" w:eastAsia="Times New Roman" w:hAnsi="Times New Roman" w:cs="Times New Roman"/>
          <w:b/>
          <w:color w:val="000000"/>
          <w:sz w:val="24"/>
          <w:szCs w:val="24"/>
        </w:rPr>
        <w:t xml:space="preserve">“Bet” </w:t>
      </w:r>
      <w:r>
        <w:rPr>
          <w:rFonts w:ascii="Times New Roman" w:eastAsia="Times New Roman" w:hAnsi="Times New Roman" w:cs="Times New Roman"/>
          <w:color w:val="000000"/>
          <w:sz w:val="24"/>
          <w:szCs w:val="24"/>
        </w:rPr>
        <w:t>izvēlni.</w:t>
      </w:r>
      <w:r>
        <w:rPr>
          <w:rFonts w:ascii="Times New Roman" w:eastAsia="Times New Roman" w:hAnsi="Times New Roman" w:cs="Times New Roman"/>
          <w:noProof/>
          <w:color w:val="000000"/>
          <w:sz w:val="24"/>
          <w:szCs w:val="24"/>
        </w:rPr>
        <w:drawing>
          <wp:inline distT="19050" distB="19050" distL="19050" distR="19050" wp14:anchorId="2D0BE700" wp14:editId="3CA9A5D2">
            <wp:extent cx="722266" cy="27178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722266" cy="271780"/>
                    </a:xfrm>
                    <a:prstGeom prst="rect">
                      <a:avLst/>
                    </a:prstGeom>
                    <a:ln/>
                  </pic:spPr>
                </pic:pic>
              </a:graphicData>
            </a:graphic>
          </wp:inline>
        </w:drawing>
      </w:r>
    </w:p>
    <w:p w14:paraId="3F2686D1" w14:textId="77777777" w:rsidR="004D5A3D"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Klikšķiniet uz </w:t>
      </w:r>
      <w:r>
        <w:rPr>
          <w:rFonts w:ascii="Times New Roman" w:eastAsia="Times New Roman" w:hAnsi="Times New Roman" w:cs="Times New Roman"/>
          <w:b/>
          <w:color w:val="000000"/>
          <w:sz w:val="24"/>
          <w:szCs w:val="24"/>
        </w:rPr>
        <w:t>“Spin”</w:t>
      </w:r>
      <w:r>
        <w:rPr>
          <w:rFonts w:ascii="Times New Roman" w:eastAsia="Times New Roman" w:hAnsi="Times New Roman" w:cs="Times New Roman"/>
          <w:color w:val="000000"/>
          <w:sz w:val="24"/>
          <w:szCs w:val="24"/>
        </w:rPr>
        <w:t xml:space="preserve">:  </w:t>
      </w:r>
    </w:p>
    <w:p w14:paraId="440ED6D8" w14:textId="77777777" w:rsidR="004D5A3D" w:rsidRDefault="00000000">
      <w:pPr>
        <w:widowControl w:val="0"/>
        <w:pBdr>
          <w:top w:val="nil"/>
          <w:left w:val="nil"/>
          <w:bottom w:val="nil"/>
          <w:right w:val="nil"/>
          <w:between w:val="nil"/>
        </w:pBdr>
        <w:spacing w:before="29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34B3351" wp14:editId="06FC95F4">
            <wp:extent cx="499110" cy="444463"/>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99110" cy="444463"/>
                    </a:xfrm>
                    <a:prstGeom prst="rect">
                      <a:avLst/>
                    </a:prstGeom>
                    <a:ln/>
                  </pic:spPr>
                </pic:pic>
              </a:graphicData>
            </a:graphic>
          </wp:inline>
        </w:drawing>
      </w:r>
    </w:p>
    <w:p w14:paraId="0854EAEC" w14:textId="77777777" w:rsidR="004D5A3D" w:rsidRDefault="00000000">
      <w:pPr>
        <w:widowControl w:val="0"/>
        <w:pBdr>
          <w:top w:val="nil"/>
          <w:left w:val="nil"/>
          <w:bottom w:val="nil"/>
          <w:right w:val="nil"/>
          <w:between w:val="nil"/>
        </w:pBdr>
        <w:spacing w:before="138"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Ruļļi sāk griezties ar jūsu izvēlēto likmi. </w:t>
      </w:r>
    </w:p>
    <w:p w14:paraId="3CC51A07" w14:textId="77777777" w:rsidR="004D5A3D" w:rsidRDefault="00000000">
      <w:pPr>
        <w:widowControl w:val="0"/>
        <w:pBdr>
          <w:top w:val="nil"/>
          <w:left w:val="nil"/>
          <w:bottom w:val="nil"/>
          <w:right w:val="nil"/>
          <w:between w:val="nil"/>
        </w:pBdr>
        <w:spacing w:before="550"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p>
    <w:p w14:paraId="70846485" w14:textId="77777777" w:rsidR="004D5A3D" w:rsidRDefault="00000000">
      <w:pPr>
        <w:widowControl w:val="0"/>
        <w:pBdr>
          <w:top w:val="nil"/>
          <w:left w:val="nil"/>
          <w:bottom w:val="nil"/>
          <w:right w:val="nil"/>
          <w:between w:val="nil"/>
        </w:pBdr>
        <w:spacing w:before="14" w:line="214"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 ruļļi grieztos automātiskajā režīmā, spiediet ikonu </w:t>
      </w:r>
      <w:r>
        <w:rPr>
          <w:rFonts w:ascii="Times New Roman" w:eastAsia="Times New Roman" w:hAnsi="Times New Roman" w:cs="Times New Roman"/>
          <w:noProof/>
          <w:color w:val="000000"/>
          <w:sz w:val="24"/>
          <w:szCs w:val="24"/>
        </w:rPr>
        <w:drawing>
          <wp:inline distT="19050" distB="19050" distL="19050" distR="19050" wp14:anchorId="231157DB" wp14:editId="6B643875">
            <wp:extent cx="297180" cy="285602"/>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297180" cy="285602"/>
                    </a:xfrm>
                    <a:prstGeom prst="rect">
                      <a:avLst/>
                    </a:prstGeom>
                    <a:ln/>
                  </pic:spPr>
                </pic:pic>
              </a:graphicData>
            </a:graphic>
          </wp:inline>
        </w:drawing>
      </w:r>
      <w:r>
        <w:rPr>
          <w:rFonts w:ascii="Times New Roman" w:eastAsia="Times New Roman" w:hAnsi="Times New Roman" w:cs="Times New Roman"/>
          <w:color w:val="000000"/>
          <w:sz w:val="24"/>
          <w:szCs w:val="24"/>
        </w:rPr>
        <w:t xml:space="preserve">, lai apturētu automātisko  režīmu, spiediet ikonu atkārtoti.  </w:t>
      </w:r>
    </w:p>
    <w:p w14:paraId="22112453" w14:textId="77777777" w:rsidR="004D5A3D" w:rsidRDefault="00000000">
      <w:pPr>
        <w:widowControl w:val="0"/>
        <w:pBdr>
          <w:top w:val="nil"/>
          <w:left w:val="nil"/>
          <w:bottom w:val="nil"/>
          <w:right w:val="nil"/>
          <w:between w:val="nil"/>
        </w:pBdr>
        <w:spacing w:before="284" w:line="227"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06AB4E1C" w14:textId="77777777" w:rsidR="004D5A3D" w:rsidRDefault="00000000">
      <w:pPr>
        <w:widowControl w:val="0"/>
        <w:pBdr>
          <w:top w:val="nil"/>
          <w:left w:val="nil"/>
          <w:bottom w:val="nil"/>
          <w:right w:val="nil"/>
          <w:between w:val="nil"/>
        </w:pBdr>
        <w:spacing w:before="284" w:line="22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griezt ruļļus līdz uz tiem attēlotie simboli veidotu laimīgās  kombinācijas uz aktīvajām izmaksas līnijām. Laimests atkarīgs no izveidotajām laimīgajām  kombinācijām. </w:t>
      </w:r>
    </w:p>
    <w:p w14:paraId="74E0465C" w14:textId="77777777" w:rsidR="004D5A3D" w:rsidRDefault="00000000">
      <w:pPr>
        <w:widowControl w:val="0"/>
        <w:pBdr>
          <w:top w:val="nil"/>
          <w:left w:val="nil"/>
          <w:bottom w:val="nil"/>
          <w:right w:val="nil"/>
          <w:between w:val="nil"/>
        </w:pBdr>
        <w:spacing w:before="282"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5AF82E7B" w14:textId="77777777" w:rsidR="004D5A3D" w:rsidRDefault="00000000">
      <w:pPr>
        <w:widowControl w:val="0"/>
        <w:pBdr>
          <w:top w:val="nil"/>
          <w:left w:val="nil"/>
          <w:bottom w:val="nil"/>
          <w:right w:val="nil"/>
          <w:between w:val="nil"/>
        </w:pBdr>
        <w:spacing w:before="323"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Regulāro Izmaksu Apraksts  </w:t>
      </w:r>
    </w:p>
    <w:p w14:paraId="7E1C16A5" w14:textId="77777777" w:rsidR="004D5A3D" w:rsidRDefault="00000000">
      <w:pPr>
        <w:widowControl w:val="0"/>
        <w:pBdr>
          <w:top w:val="nil"/>
          <w:left w:val="nil"/>
          <w:bottom w:val="nil"/>
          <w:right w:val="nil"/>
          <w:between w:val="nil"/>
        </w:pBdr>
        <w:spacing w:before="353"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parastie simboli veidotu laimīgo kombināciju, jāsakrīt sekojošiem apstākļiem: </w:t>
      </w:r>
    </w:p>
    <w:p w14:paraId="169DC2B6" w14:textId="77777777" w:rsidR="004D5A3D" w:rsidRDefault="00000000">
      <w:pPr>
        <w:widowControl w:val="0"/>
        <w:pBdr>
          <w:top w:val="nil"/>
          <w:left w:val="nil"/>
          <w:bottom w:val="nil"/>
          <w:right w:val="nil"/>
          <w:between w:val="nil"/>
        </w:pBdr>
        <w:spacing w:before="348"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Simboliem jābūt līdzās uz aktīvas izmaksas līnijas. </w:t>
      </w:r>
    </w:p>
    <w:p w14:paraId="3D4382E1" w14:textId="77777777" w:rsidR="004D5A3D" w:rsidRDefault="00000000">
      <w:pPr>
        <w:widowControl w:val="0"/>
        <w:pBdr>
          <w:top w:val="nil"/>
          <w:left w:val="nil"/>
          <w:bottom w:val="nil"/>
          <w:right w:val="nil"/>
          <w:between w:val="nil"/>
        </w:pBdr>
        <w:spacing w:line="23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Pirmajam kombinācijas  simbolam jāatrodas uz 1.ruļļa. </w:t>
      </w:r>
    </w:p>
    <w:p w14:paraId="6200C582" w14:textId="77777777" w:rsidR="004D5A3D" w:rsidRDefault="00000000">
      <w:pPr>
        <w:widowControl w:val="0"/>
        <w:pBdr>
          <w:top w:val="nil"/>
          <w:left w:val="nil"/>
          <w:bottom w:val="nil"/>
          <w:right w:val="nil"/>
          <w:between w:val="nil"/>
        </w:pBdr>
        <w:spacing w:before="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Izmaksu koeficienti parādīti izmaksu attēlos. </w:t>
      </w:r>
    </w:p>
    <w:p w14:paraId="52A5E8E9" w14:textId="77777777" w:rsidR="004D5A3D" w:rsidRDefault="00000000">
      <w:pPr>
        <w:widowControl w:val="0"/>
        <w:pBdr>
          <w:top w:val="nil"/>
          <w:left w:val="nil"/>
          <w:bottom w:val="nil"/>
          <w:right w:val="nil"/>
          <w:between w:val="nil"/>
        </w:pBdr>
        <w:spacing w:before="17"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7ED6E0C7" wp14:editId="147A314D">
            <wp:extent cx="1107440" cy="914115"/>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107440" cy="914115"/>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2EC205F4" wp14:editId="646B3735">
            <wp:extent cx="2280920" cy="89531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2280920" cy="895310"/>
                    </a:xfrm>
                    <a:prstGeom prst="rect">
                      <a:avLst/>
                    </a:prstGeom>
                    <a:ln/>
                  </pic:spPr>
                </pic:pic>
              </a:graphicData>
            </a:graphic>
          </wp:inline>
        </w:drawing>
      </w:r>
    </w:p>
    <w:p w14:paraId="41E526EF" w14:textId="77777777" w:rsidR="004D5A3D"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0031D6BB" wp14:editId="13077BAF">
            <wp:extent cx="2269490" cy="1701388"/>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2269490" cy="1701388"/>
                    </a:xfrm>
                    <a:prstGeom prst="rect">
                      <a:avLst/>
                    </a:prstGeom>
                    <a:ln/>
                  </pic:spPr>
                </pic:pic>
              </a:graphicData>
            </a:graphic>
          </wp:inline>
        </w:drawing>
      </w:r>
    </w:p>
    <w:p w14:paraId="0F137512" w14:textId="77777777" w:rsidR="004D5A3D" w:rsidRDefault="004D5A3D">
      <w:pPr>
        <w:widowControl w:val="0"/>
        <w:pBdr>
          <w:top w:val="nil"/>
          <w:left w:val="nil"/>
          <w:bottom w:val="nil"/>
          <w:right w:val="nil"/>
          <w:between w:val="nil"/>
        </w:pBdr>
        <w:spacing w:line="240" w:lineRule="auto"/>
        <w:ind w:right="-30"/>
        <w:rPr>
          <w:rFonts w:ascii="Times New Roman" w:eastAsia="Times New Roman" w:hAnsi="Times New Roman" w:cs="Times New Roman"/>
          <w:b/>
          <w:i/>
          <w:sz w:val="24"/>
          <w:szCs w:val="24"/>
        </w:rPr>
      </w:pPr>
    </w:p>
    <w:p w14:paraId="787EE9A2" w14:textId="77777777" w:rsidR="004D5A3D"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Izmaksu Līniju Apraksts.  </w:t>
      </w:r>
    </w:p>
    <w:p w14:paraId="37D5F199" w14:textId="77777777" w:rsidR="004D5A3D" w:rsidRDefault="00000000">
      <w:pPr>
        <w:widowControl w:val="0"/>
        <w:pBdr>
          <w:top w:val="nil"/>
          <w:left w:val="nil"/>
          <w:bottom w:val="nil"/>
          <w:right w:val="nil"/>
          <w:between w:val="nil"/>
        </w:pBdr>
        <w:spacing w:before="276" w:line="263"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izmaksāts tikai par laimīgajām kombinācijām uz aktīvajām izmaksas līnijām.  Līnijas, kas redzamas attēlā, parāda iespējamās izmaksas līniju formas.  </w:t>
      </w:r>
    </w:p>
    <w:p w14:paraId="25A25D44" w14:textId="77777777" w:rsidR="004D5A3D" w:rsidRDefault="00000000">
      <w:pPr>
        <w:widowControl w:val="0"/>
        <w:pBdr>
          <w:top w:val="nil"/>
          <w:left w:val="nil"/>
          <w:bottom w:val="nil"/>
          <w:right w:val="nil"/>
          <w:between w:val="nil"/>
        </w:pBdr>
        <w:spacing w:before="276" w:line="263" w:lineRule="auto"/>
        <w:ind w:right="-3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120A173" wp14:editId="7BDE7572">
            <wp:extent cx="6102491" cy="2489200"/>
            <wp:effectExtent l="0" t="0" r="0" b="0"/>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8"/>
                    <a:srcRect/>
                    <a:stretch>
                      <a:fillRect/>
                    </a:stretch>
                  </pic:blipFill>
                  <pic:spPr>
                    <a:xfrm>
                      <a:off x="0" y="0"/>
                      <a:ext cx="6102491" cy="2489200"/>
                    </a:xfrm>
                    <a:prstGeom prst="rect">
                      <a:avLst/>
                    </a:prstGeom>
                    <a:ln/>
                  </pic:spPr>
                </pic:pic>
              </a:graphicData>
            </a:graphic>
          </wp:inline>
        </w:drawing>
      </w:r>
    </w:p>
    <w:p w14:paraId="60E0B5A5" w14:textId="77777777" w:rsidR="004D5A3D" w:rsidRDefault="00000000">
      <w:pPr>
        <w:widowControl w:val="0"/>
        <w:pBdr>
          <w:top w:val="nil"/>
          <w:left w:val="nil"/>
          <w:bottom w:val="nil"/>
          <w:right w:val="nil"/>
          <w:between w:val="nil"/>
        </w:pBdr>
        <w:spacing w:before="526"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Kārtība, kādā notiek pieteikšanās uz laimestu un kādā to izsniedz </w:t>
      </w:r>
    </w:p>
    <w:p w14:paraId="27A560C5" w14:textId="77777777" w:rsidR="004D5A3D" w:rsidRDefault="00000000">
      <w:pPr>
        <w:widowControl w:val="0"/>
        <w:pBdr>
          <w:top w:val="nil"/>
          <w:left w:val="nil"/>
          <w:bottom w:val="nil"/>
          <w:right w:val="nil"/>
          <w:between w:val="nil"/>
        </w:pBdr>
        <w:spacing w:before="526"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0E7E39A4" w14:textId="77777777" w:rsidR="004D5A3D" w:rsidRDefault="00000000">
      <w:pPr>
        <w:widowControl w:val="0"/>
        <w:pBdr>
          <w:top w:val="nil"/>
          <w:left w:val="nil"/>
          <w:bottom w:val="nil"/>
          <w:right w:val="nil"/>
          <w:between w:val="nil"/>
        </w:pBdr>
        <w:spacing w:before="330"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1B75F46A" w14:textId="77777777" w:rsidR="004D5A3D" w:rsidRDefault="00000000">
      <w:pPr>
        <w:widowControl w:val="0"/>
        <w:pBdr>
          <w:top w:val="nil"/>
          <w:left w:val="nil"/>
          <w:bottom w:val="nil"/>
          <w:right w:val="nil"/>
          <w:between w:val="nil"/>
        </w:pBdr>
        <w:spacing w:before="27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172E43F4" w14:textId="77777777" w:rsidR="004D5A3D" w:rsidRDefault="00000000">
      <w:pPr>
        <w:widowControl w:val="0"/>
        <w:pBdr>
          <w:top w:val="nil"/>
          <w:left w:val="nil"/>
          <w:bottom w:val="nil"/>
          <w:right w:val="nil"/>
          <w:between w:val="nil"/>
        </w:pBdr>
        <w:spacing w:before="561" w:line="227"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64F19904" w14:textId="77777777" w:rsidR="004D5A3D" w:rsidRDefault="00000000">
      <w:pPr>
        <w:spacing w:line="240" w:lineRule="auto"/>
        <w:ind w:right="-30"/>
        <w:jc w:val="both"/>
        <w:rPr>
          <w:rFonts w:ascii="Times New Roman" w:eastAsia="Times New Roman" w:hAnsi="Times New Roman" w:cs="Times New Roman"/>
          <w:color w:val="000000"/>
          <w:sz w:val="24"/>
          <w:szCs w:val="24"/>
        </w:rPr>
      </w:pPr>
      <w:bookmarkStart w:id="1" w:name="_8kb2uuyrcbwx" w:colFirst="0" w:colLast="0"/>
      <w:bookmarkEnd w:id="1"/>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19">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w:t>
      </w:r>
      <w:r>
        <w:rPr>
          <w:rFonts w:ascii="Times New Roman" w:eastAsia="Times New Roman" w:hAnsi="Times New Roman" w:cs="Times New Roman"/>
          <w:sz w:val="24"/>
          <w:szCs w:val="24"/>
        </w:rPr>
        <w:t xml:space="preserve">Sūdzības tiks izskatītas un atbildes tiek sniegtas 10 darba dienu laikā no to saņemšanas brīža. </w:t>
      </w:r>
    </w:p>
    <w:p w14:paraId="23882332" w14:textId="77777777" w:rsidR="004D5A3D" w:rsidRDefault="00000000">
      <w:pPr>
        <w:widowControl w:val="0"/>
        <w:pBdr>
          <w:top w:val="nil"/>
          <w:left w:val="nil"/>
          <w:bottom w:val="nil"/>
          <w:right w:val="nil"/>
          <w:between w:val="nil"/>
        </w:pBdr>
        <w:spacing w:before="562"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4D5A3D">
      <w:pgSz w:w="12240" w:h="15840"/>
      <w:pgMar w:top="1425" w:right="1404" w:bottom="1607" w:left="122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3D"/>
    <w:rsid w:val="004D5A3D"/>
    <w:rsid w:val="00530B12"/>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3726871B"/>
  <w15:docId w15:val="{6F195E01-FDB9-5841-ADEC-0CFE6148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mailto:support@spins.lv" TargetMode="External"/><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2022-08-17T12:09:00Z</dcterms:created>
  <dcterms:modified xsi:type="dcterms:W3CDTF">2022-08-17T12:10:00Z</dcterms:modified>
</cp:coreProperties>
</file>