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Magic Money Maze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Magic Money Maze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Magic Money Maze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“Money”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33691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“Money” 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32073" cy="554990"/>
            <wp:effectExtent b="0" l="0" r="0" t="0"/>
            <wp:docPr id="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32073" cy="55499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Uz katra “Money” simbola tiek norādīta nejaušī izvēlēta naudas vērtība.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Vērtība, kas ir norādīta uz “Money” simbola vair tikt piešķirta bonusa spēles laikā vai  arīkad pamatspēles laikā uz spēles laukuma izkrīt 5 “Money” simboli.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bonusa spēles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50240" cy="74676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50240" cy="74676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jebkura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“Bonus” simboli aktivizē bonusa spēli.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Atkarībā no “Bonus” sibmola skaita tiek piešķirtas dzīvības: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“Bonus” simboli piešķir 1 dzīvību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“Bonus” simboli piešķir 2 dzīvības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“Bonus” simboli piešķir 4 dzīvības.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 tiek izspēlēta uz 7x7 spēles laukuma.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Bonusa spēles sākumā spēlētājs atrodas uz nejauši izvēlētas pozīcijas.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Katru reizi, kad tiek mesti kauliņi, spēlētājs tiek pārvietots par norādīto soļu skaitu pulksteņa rādītāja virzienā.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Uz spēles laukuma tiek izvietotas dažādas papildus pozīcijas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Tūlītējas naudas balva no 0,1x līdz 1000x no likmes apmēra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Papildus dzīvība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Bultas, kas pārvieto spēlētaju uz norādīto pozīciju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Čūskas un skorpioni, kas noem vienu dzīvību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7.908673286438"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Prezidentu attēļi – ja ir sakrāti 2, 3 vai 4 prezidentu attēli, tiek piešķirts x2, x3  vai x10 laimesta reizinātājs attiecīgi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9.241595268249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“Magic Money Maze” simbols – katru reizi, kad spēlētājs apzstājas uz šīs  pozīcijas, nejauši izvēlētam naudas balvu skaitam tiek piemērtos reizinātājs  x2, ja ta ir pirmā reize, x3 ja tā ir otrā reize, x4 ja tā ir trešā reize, x5 ja tā ir  ceturtā reize un visas nākamās reizes x10.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2592773437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Pēc nejaušības principa, uz jebkuras spēles laukuma pozīcijas var tikt paslēpts  Debesskrāpis.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spēlētājs apstājas uz pozīcijas ar Debesskrāpi, tas parādās un spēlētājs tiks vizīts uz  nejauši izvēlētu pozīciju, kas ir augstāka par esošo pozīciju.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Bonusa spēle beidzas, kad ir beigušās visas dzīvības.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Bonusa spēles beigās spēlētajam tiek izmaksāts kopējais laimests.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notiekumi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1440" w:righ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364464" cy="654685"/>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64464" cy="65468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bonusa spēli par cenu 120x no likmes apmēra.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89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2438" cy="379095"/>
            <wp:effectExtent b="0" l="0" r="0" t="0"/>
            <wp:docPr id="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002438" cy="37909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7.35320091247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80487" cy="36576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80487" cy="3657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7.3532009124756"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7.3532009124756"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6076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1739654541"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77987670898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634277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785888671875" w:line="231.907939910888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0.60 EUR paradītas attēlos, palielinot līnijas likmi proporcionāli  mainās izmaksas.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208984375" w:line="226.829409599304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82963" cy="1199824"/>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382963" cy="119982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56904" cy="869315"/>
            <wp:effectExtent b="0" l="0" r="0" t="0"/>
            <wp:docPr id="5"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756904" cy="86931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208984375" w:line="226.8294095993042"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208984375" w:line="226.8294095993042"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67431640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72.301321029663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57725" cy="809625"/>
            <wp:effectExtent b="0" l="0" r="0" t="0"/>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65772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72.3013210296631"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72.3013210296631"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72.301321029663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70678710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7.908673286438"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Sūdzības un pretenzijas pieņem tikai rakstiskā veidā, 30 dienu laikā pēc spēles sesijas beigām  Kompānijas administrācijā pēc adreses: Rīga,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Satekles iela 2b LV-1050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parakstītu ar  drošu elektronisko parakstu, kas satur laika zīmogu, sūtot uz e-pasta adresi  support@optibet.lv. tālr. (+371) 67298114 vai (+371) 67313434. Sūdzības tiks izskatītas un  atbildes tiek sniegtas 10 darba dienu laikā no to saņemšanas brīža.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47.9257202148438" w:top="1420.79833984375" w:left="230" w:right="14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