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111572265625" w:right="75" w:hanging="15.331115722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30.787200927734375" w:right="75" w:hanging="30.7872009277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Maze Escape Megaways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16.656036376953125" w:right="75" w:hanging="16.656036376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31.4495849609375" w:right="75" w:hanging="31.44958496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19.747161865234375" w:right="75" w:hanging="19.74716186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16.81915283203125" w:right="7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7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28.13751220703125" w:right="75" w:hanging="28.1375122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15.206298828125" w:right="75" w:hanging="15.206298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Maze Escape Megaways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25.38238525390625" w:right="75" w:hanging="25.38238525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83750152588" w:lineRule="auto"/>
        <w:ind w:left="21.5423583984375" w:right="75" w:hanging="21.54235839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„Maze Escape Megaways“ ir 6 ruļļu, 2-7 rindu un līdz pat 117649 izmaksas līniju spēļu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1005859375" w:line="264.89416122436523" w:lineRule="auto"/>
        <w:ind w:left="734.742431640625" w:right="75" w:hanging="734.7424316406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4 papildus funkcijas, kas var tikt aktivizētas spēles laikā: “Shifting Maze  Avalanche” funkcija, “Guidance of Athena” funckija, “Minotaur Wild” funkcija,  aizstājējsimbols un bezmaksas griezienu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4951171875" w:line="264.29426193237305"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Pirmā ruļļa (no kreisās puses) vidējās rindas pozīcija ir īpaši atzīmēta, un ja tajā atrodas  uzvarošas kombinācijas simbols, aktivizējas “Shifting Maze Avalanche”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4951171875" w:line="264.29426193237305"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Funkcijas laikā visi ruļļi pavirzās vienu pozīciju pa labi, uzvarošās kombinācijas simboli  tiek centrēti un iezīmēti (“Path”), pārējie simboli tiek aizstāti ar jauniem simboliem, kā  arī tiek atklātas divas nejaušas “Blocker” simbolu pozīcijas, paplašinot spēles laukumu un  iespējamo izmaksas līniju skaitu.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5537109375" w:line="271.0582637786865"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Funkcija noslēdzas brīdī, kad iezīmētie simboli vairs neveido uzvarošās kombinācijas.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5537109375" w:line="271.0582637786865"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“Blocker” simboli var aktivizēt arī “Guidance of Athena” vai “Minotaur Wild”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49780" cy="982980"/>
            <wp:effectExtent b="0" l="0" r="0" t="0"/>
            <wp:docPr id="8"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04978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255920410156" w:lineRule="auto"/>
        <w:ind w:left="744.57275390625" w:right="75" w:hanging="744.5727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“Guidance of Athena” iezīmē līdz pat četras simbolu pozīcijas pirms laukumā parādās jauni  simboli.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44854736328" w:lineRule="auto"/>
        <w:ind w:left="734.2048645019531" w:right="75" w:hanging="734.2048645019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“Minotaur Wild” spēles laukumā piešķirs aizstājējsimbolu, kas pārklās visu rulli un saņems  nejaušu 1x-7x laimesta reizinātāju.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4365234375" w:line="240" w:lineRule="auto"/>
        <w:ind w:left="732.4224853515625" w:right="7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35240" cy="2068195"/>
            <wp:effectExtent b="0" l="0" r="0" t="0"/>
            <wp:docPr id="1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135240" cy="206819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9990234375" w:line="229.07544136047363" w:lineRule="auto"/>
        <w:ind w:left="741.1167907714844" w:right="75" w:hanging="741.11679077148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Tiek izmaksāts tikai lielākais iespējamais laimests no izmaksu līnijas,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9.07488346099854" w:lineRule="auto"/>
        <w:ind w:left="734.6656799316406" w:right="75" w:hanging="734.66567993164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279296875" w:line="240"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“Scatter” simboli aktivizē bezmaksas griezienu bonusu.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232421875" w:line="240" w:lineRule="auto"/>
        <w:ind w:left="732.4224853515625" w:right="7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5820" cy="922020"/>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45820" cy="92202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1721191406" w:lineRule="auto"/>
        <w:ind w:left="734.6656799316406" w:right="75" w:hanging="734.66567993164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10 griezieni, kuru laikā katra uzvara aktivizē “Shifting Maze  Avalanche” funkciju.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1455078125" w:line="273.86301040649414"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atklāt “Labyrinth Blocker” simbolu, kas piešķirs laimesta reizinātāju,  kas uzkrājošā veidā tiek saglabāts visa bonusa laikā, vai papildu bezmaksas griezienus.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1455078125" w:line="273.86301040649414"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1455078125" w:line="273.86301040649414"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spēlei noslēdzoties iegūtie laimesti tiek pievienoti kopējai spēles 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28857421875" w:line="240" w:lineRule="auto"/>
        <w:ind w:left="727.7824401855469" w:right="75" w:hanging="727.782440185546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29.90804195404053" w:lineRule="auto"/>
        <w:ind w:left="740.0224304199219" w:right="75" w:hanging="740.02243041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195068359375" w:line="240" w:lineRule="auto"/>
        <w:ind w:left="384.88311767578125" w:right="7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41.46240234375" w:right="75" w:hanging="41.46240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40" w:lineRule="auto"/>
        <w:ind w:left="384.88311767578125" w:right="7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līdz pat 117649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7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7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65.46234130859375" w:right="75" w:hanging="65.46234130859375"/>
        <w:jc w:val="left"/>
        <w:rPr>
          <w:rFonts w:ascii="Times New Roman" w:cs="Times New Roman" w:eastAsia="Times New Roman" w:hAnsi="Times New Roman"/>
          <w:b w:val="1"/>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739.7824096679688" w:right="75" w:hanging="739.782409667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044921875" w:line="229.90779876708984" w:lineRule="auto"/>
        <w:ind w:left="714.5823669433594" w:right="75" w:hanging="714.58236694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890625" w:line="231.90690994262695" w:lineRule="auto"/>
        <w:ind w:left="384.88311767578125" w:right="7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piektā vai sestā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890625" w:line="231.90690994262695" w:lineRule="auto"/>
        <w:ind w:left="384.88311767578125" w:right="7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Izmaksu līniju laimests tiek reizināts ar līnijas uzstādīto vērtību.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814208984375" w:line="240" w:lineRule="auto"/>
        <w:ind w:left="7.005615234375" w:right="75" w:hanging="7.005615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75" w:hanging="5.7600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2.85412788391113" w:lineRule="auto"/>
        <w:ind w:left="732.4224853515625" w:right="7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31570" cy="937082"/>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131570" cy="937082"/>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0469970703125" w:right="75" w:hanging="387.0046997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9716796875" w:line="240" w:lineRule="auto"/>
        <w:ind w:left="732.4224853515625" w:right="75" w:hanging="732.42248535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104557" cy="1078865"/>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104557" cy="107886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4669189453125" w:line="240" w:lineRule="auto"/>
        <w:ind w:left="16.81915283203125" w:right="7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310791015625" w:line="240" w:lineRule="auto"/>
        <w:ind w:left="10.13763427734375" w:right="75" w:hanging="10.1376342773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0301513671875" w:line="240" w:lineRule="auto"/>
        <w:ind w:left="12.4224853515625" w:right="7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3280" cy="883679"/>
            <wp:effectExtent b="0" l="0" r="0" t="0"/>
            <wp:docPr id="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843280" cy="883679"/>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995849609375" w:line="240" w:lineRule="auto"/>
        <w:ind w:left="14.745635986328125" w:right="75" w:hanging="14.745635986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24853515625" w:right="7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35050" cy="906742"/>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1035050" cy="906742"/>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3369140625" w:line="240" w:lineRule="auto"/>
        <w:ind w:left="17.049560546875" w:right="75" w:hanging="17.0495605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23681640625" w:line="243.38141441345215" w:lineRule="auto"/>
        <w:ind w:left="26.591949462890625" w:right="75" w:hanging="26.591949462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1494140625" w:line="229.76895332336426" w:lineRule="auto"/>
        <w:ind w:left="12.441558837890625" w:right="75" w:hanging="12.4415588378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44775390625" w:line="240" w:lineRule="auto"/>
        <w:ind w:left="4.197540283203125" w:right="75" w:hanging="4.1975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75" w:hanging="5.7600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865524292" w:lineRule="auto"/>
        <w:ind w:left="23.26080322265625" w:right="7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865524292" w:lineRule="auto"/>
        <w:ind w:left="23.26080322265625" w:right="7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15966796875" w:line="230.1166534423828" w:lineRule="auto"/>
        <w:ind w:left="20.735931396484375" w:right="75" w:hanging="20.73593139648437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piektā vai sestā ruļļa.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14013671875" w:line="240" w:lineRule="auto"/>
        <w:ind w:left="12.4224853515625" w:right="75" w:hanging="12.42248535156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381246" cy="2948940"/>
            <wp:effectExtent b="0" l="0" r="0" t="0"/>
            <wp:docPr id="2"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4381246" cy="294894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24853515625" w:right="75" w:hanging="12.42248535156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632452" cy="1581785"/>
            <wp:effectExtent b="0" l="0" r="0" t="0"/>
            <wp:docPr id="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632452" cy="158178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817138671875" w:right="75" w:hanging="5.068817138671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14.745635986328125" w:right="75" w:hanging="14.745635986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083984375" w:line="240" w:lineRule="auto"/>
        <w:ind w:left="12.4224853515625" w:right="7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50893" cy="2287905"/>
            <wp:effectExtent b="0" l="0" r="0" t="0"/>
            <wp:docPr id="3"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4350893" cy="228790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1220703125" w:right="75" w:hanging="28.13751220703125"/>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1220703125" w:right="75" w:hanging="28.1375122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17.5103759765625" w:right="75" w:hanging="17.51037597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14.227142333984375" w:right="75" w:hanging="14.22714233398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29.07516956329346" w:lineRule="auto"/>
        <w:ind w:left="14.284820556640625" w:right="75" w:hanging="14.284820556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2060546875" w:line="232.1439027786255" w:lineRule="auto"/>
        <w:ind w:left="12.441558837890625" w:right="75" w:hanging="12.441558837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C">
      <w:pPr>
        <w:spacing w:line="240" w:lineRule="auto"/>
        <w:ind w:right="7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060546875" w:line="233.24023246765137" w:lineRule="auto"/>
        <w:ind w:left="21.513519287109375" w:right="75" w:hanging="21.513519287109375"/>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060546875" w:line="233.24023246765137" w:lineRule="auto"/>
        <w:ind w:left="21.513519287109375" w:right="75" w:hanging="21.513519287109375"/>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Cita informācija, kuru azartspēles organizētājs uzskata par nepieciešamu</w:t>
      </w:r>
    </w:p>
    <w:sectPr>
      <w:pgSz w:h="15840" w:w="12240" w:orient="portrait"/>
      <w:pgMar w:bottom="1879.6800231933594" w:top="1430.799560546875" w:left="1427.5775146484375" w:right="1380.457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hyperlink" Target="mailto:support@spins.lv" TargetMode="Externa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