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6246337890625" w:right="0" w:firstLine="0"/>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02">
      <w:pPr>
        <w:spacing w:line="240" w:lineRule="auto"/>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rPr>
          <w:rFonts w:ascii="Times New Roman" w:cs="Times New Roman" w:eastAsia="Times New Roman" w:hAnsi="Times New Roman"/>
          <w:sz w:val="23.040000915527344"/>
          <w:szCs w:val="23.040000915527344"/>
          <w:highlight w:val="white"/>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6328125" w:line="240" w:lineRule="auto"/>
        <w:ind w:left="4.108734130859375" w:right="0" w:firstLine="0"/>
        <w:jc w:val="left"/>
        <w:rPr>
          <w:rFonts w:ascii="Times New Roman" w:cs="Times New Roman" w:eastAsia="Times New Roman" w:hAnsi="Times New Roman"/>
          <w:b w:val="1"/>
          <w:i w:val="0"/>
          <w:smallCaps w:val="0"/>
          <w:strike w:val="0"/>
          <w:color w:val="00000a"/>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5.920000076293945"/>
          <w:szCs w:val="25.920000076293945"/>
          <w:u w:val="none"/>
          <w:shd w:fill="auto" w:val="clear"/>
          <w:vertAlign w:val="baseline"/>
          <w:rtl w:val="0"/>
        </w:rPr>
        <w:t xml:space="preserve">Dragon Tiger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4453125" w:line="240" w:lineRule="auto"/>
        <w:ind w:left="4.8959350585937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Live kazino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3551025390625" w:right="0" w:firstLine="0"/>
        <w:jc w:val="left"/>
        <w:rPr>
          <w:rFonts w:ascii="Calibri" w:cs="Calibri" w:eastAsia="Calibri" w:hAnsi="Calibri"/>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Ražotājs</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PragmaticPlay Ltd</w:t>
      </w:r>
      <w:r w:rsidDel="00000000" w:rsidR="00000000" w:rsidRPr="00000000">
        <w:rPr>
          <w:rFonts w:ascii="Calibri" w:cs="Calibri" w:eastAsia="Calibri" w:hAnsi="Calibri"/>
          <w:b w:val="0"/>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923583984375" w:line="240" w:lineRule="auto"/>
        <w:ind w:left="7.324676513671875" w:right="0" w:firstLine="0"/>
        <w:jc w:val="left"/>
        <w:rPr>
          <w:rFonts w:ascii="Calibri" w:cs="Calibri" w:eastAsia="Calibri" w:hAnsi="Calibri"/>
          <w:b w:val="1"/>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a"/>
          <w:sz w:val="22.079999923706055"/>
          <w:szCs w:val="22.079999923706055"/>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4.396667480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Minimālā likme 0.10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6667480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Maksimālā likme 5000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15.71502685546875" w:right="0" w:firstLine="0"/>
        <w:jc w:val="left"/>
        <w:rPr>
          <w:rFonts w:ascii="Calibri" w:cs="Calibri" w:eastAsia="Calibri" w:hAnsi="Calibri"/>
          <w:b w:val="1"/>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a"/>
          <w:sz w:val="22.079999923706055"/>
          <w:szCs w:val="22.079999923706055"/>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3.47503662109375" w:right="0" w:firstLine="2.764892578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highlight w:val="white"/>
          <w:u w:val="none"/>
          <w:vertAlign w:val="baseline"/>
          <w:rtl w:val="0"/>
        </w:rPr>
        <w:t xml:space="preserve">Dragon Tiger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31103515625" w:line="240" w:lineRule="auto"/>
        <w:ind w:left="12.46063232421875" w:right="0" w:firstLine="0"/>
        <w:jc w:val="left"/>
        <w:rPr>
          <w:rFonts w:ascii="Times New Roman" w:cs="Times New Roman" w:eastAsia="Times New Roman" w:hAnsi="Times New Roman"/>
          <w:b w:val="1"/>
          <w:color w:val="00000a"/>
          <w:sz w:val="23.040000915527344"/>
          <w:szCs w:val="23.04000091552734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31103515625" w:line="240" w:lineRule="auto"/>
        <w:ind w:left="12.460632324218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Spēles mērķis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39013671875" w:line="437.67199516296387" w:lineRule="auto"/>
        <w:ind w:left="12.46063232421875" w:right="190.45166015625" w:hanging="2.764739990234375"/>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“Dragon Tiger”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spēles mērķis ir uzminēt, kura pozīcija (Dragon vai Tiger) saņems vērtīgāku kārti.  </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Spēles noteikumi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5888671875" w:line="240" w:lineRule="auto"/>
        <w:ind w:left="14.995117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Spēli vada dīleris un to spēlē ar astoņām standarta 52 kāršu kavām. Kāršu vērtības ir šādas: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923828125" w:line="240" w:lineRule="auto"/>
        <w:ind w:left="372.46063232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a"/>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Dūžiem ir 1 punkta vērtība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388671875" w:line="240" w:lineRule="auto"/>
        <w:ind w:left="372.46063232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a"/>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Kārtis no 2-10 atbilst to norādītajai vērtībai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388671875" w:line="240" w:lineRule="auto"/>
        <w:ind w:left="372.46063232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a"/>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Kalpiem Dāmām un Kungiem secīgi ir 11,12 un 13 vērtība.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5238037109375" w:line="240" w:lineRule="auto"/>
        <w:ind w:left="8.08303833007812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“Dragon Tiger” svarīgas ir tikai kāršu punktu vērtības, mastiem nav nozīmes.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298583984375" w:line="264.99810218811035" w:lineRule="auto"/>
        <w:ind w:left="2.323150634765625" w:right="173.919677734375" w:firstLine="2.073516845703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Pirms kāršu izdales, spēlētājam jāveic likme uz “Dragon” vai “Tiger” puses uzvaru. Tāpat likmi var  veikt arī uz neizšķirtu, kas laimēs, ja abu pušu kāršu vērtības būs identiskas.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248779296875" w:line="264.4772243499756" w:lineRule="auto"/>
        <w:ind w:left="7.391815185546875" w:right="228.51806640625" w:hanging="2.995147705078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Pēc likmju veikšanas dīleris izliek divas kārtis – viena pārstāv “Dragon” pusi, otra “Tiger”. Uzvaru  gūst kārts ar lielāko vērtību, vai arī tiek fiksēts neizšķirts, ja vērtības ir identiskas.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24755859375" w:line="240" w:lineRule="auto"/>
        <w:ind w:left="4.1662597656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Papildlikmes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433349609375" w:line="240" w:lineRule="auto"/>
        <w:ind w:left="14.995117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Spēlē pieejamas trīs veidu papildlikmes.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242950439453" w:lineRule="auto"/>
        <w:ind w:left="9.926300048828125" w:right="140.321044921875" w:hanging="5.760040283203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Big/Small –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Spēlētājs prognozē, ka izvēlētajā pusē kārts būs augstas (virs astoņi) vai zemas vērtības  (zem seši).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9150390625" w:line="240" w:lineRule="auto"/>
        <w:ind w:left="8.54385375976562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Odd/Even –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Spēlētājs prognozē pāra vai nepāra kārts vērtības iegūšanu.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3291015625" w:line="240" w:lineRule="auto"/>
        <w:ind w:left="6.470336914062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Red/Black –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Spēlētājs prognozē, ka iegūtā kārts būs sarkana vai melna.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52294921875" w:line="240" w:lineRule="auto"/>
        <w:ind w:left="4.857482910156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Laimesti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22265625" w:line="240" w:lineRule="auto"/>
        <w:ind w:left="5.318298339843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Jūsu laimests ir atkarīgs no izdarītā likmes veida.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22900390625" w:line="240" w:lineRule="auto"/>
        <w:ind w:left="0"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3409950" cy="42291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40995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5750122070312" w:right="0" w:firstLine="0"/>
        <w:jc w:val="left"/>
        <w:rPr>
          <w:rFonts w:ascii="Times New Roman" w:cs="Times New Roman" w:eastAsia="Times New Roman" w:hAnsi="Times New Roman"/>
          <w:b w:val="1"/>
          <w:color w:val="00000a"/>
          <w:sz w:val="23.040000915527344"/>
          <w:szCs w:val="23.04000091552734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5750122070312"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Likmju statistika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3232421875" w:line="262.3944854736328" w:lineRule="auto"/>
        <w:ind w:left="107.96157836914062" w:right="1038.8409423828125" w:firstLine="0.230255126953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Tiek parādīta kopējā uz noteiktu likmes pozīciju uzliktā likme, kā arī spēlētāju skaits, kas  izdarījuši likmes uz šo pozīciju.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24169921875" w:line="262.3944854736328" w:lineRule="auto"/>
        <w:ind w:left="109.57427978515625" w:right="1488.7109375" w:hanging="1.3824462890625"/>
        <w:jc w:val="left"/>
        <w:rPr>
          <w:rFonts w:ascii="Times New Roman" w:cs="Times New Roman" w:eastAsia="Times New Roman" w:hAnsi="Times New Roman"/>
          <w:color w:val="00000a"/>
          <w:sz w:val="23.040000915527344"/>
          <w:szCs w:val="23.040000915527344"/>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Tiek parādīta arī visu uz baņķieri, spēlētāju vai neizšķirtu uzlikto likmju procentuālā  attiecība. Jūs varat šo statistiku paslēpt sadaļā „Spēles iestatījumi“.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24169921875" w:line="262.3944854736328" w:lineRule="auto"/>
        <w:ind w:left="0" w:right="1488.7109375"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Rezultātu tabulas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123291015625" w:line="229.0748691558838" w:lineRule="auto"/>
        <w:ind w:left="1.862335205078125" w:right="671.004638671875" w:firstLine="13.132781982421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Spēlētāja vai baņķier uzvaru sērijas un tendences, izmantojot konkrētu kāršu izdales kasti, tiek  reģistrētas dažādās rezultātu tabulās. Iepriekšējo raundu rezultātu un citu statistikas lielumu  attēlojumi var jums palīdzēt prognozēt nākamo raundu rezultātus.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61181640625" w:line="240" w:lineRule="auto"/>
        <w:ind w:left="6.239929199218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Pērļu ceļš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23193359375" w:line="230.1163673400879" w:lineRule="auto"/>
        <w:ind w:left="8.083038330078125" w:right="653.955078125" w:hanging="2.995147705078125"/>
        <w:jc w:val="both"/>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Līdzīgi kā “Baccarat” arī “Dragon Tiger” spēlē rezultāti tiek atspoguļoti pērļu ceļā, kur Lielais  ceļš atspoguļo pamatrezultātus, savukārt atvasinātajos ceļos (“Big Eye Boy”, “Small Road” un  “Cockroach Pig” iespējams fiksēt dažādas spēles norises tendences.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4112548828125" w:line="240" w:lineRule="auto"/>
        <w:ind w:left="0"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3533775" cy="180975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533775"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84991455078125" w:line="240" w:lineRule="auto"/>
        <w:ind w:left="106.34872436523438"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KĀRŠU IZDALES KASTES STATISTIKA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5230712890625" w:line="401.9224262237549" w:lineRule="auto"/>
        <w:ind w:left="95.28945922851562" w:right="1954.4488525390625" w:firstLine="9.90722656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Pamatojoties uz pašreizējo kāršu izdales kasti, jums tiek parādīta šāda statistika: </w:t>
      </w:r>
      <w:r w:rsidDel="00000000" w:rsidR="00000000" w:rsidRPr="00000000">
        <w:rPr>
          <w:rFonts w:ascii="Times New Roman" w:cs="Times New Roman" w:eastAsia="Times New Roman" w:hAnsi="Times New Roman"/>
          <w:b w:val="0"/>
          <w:i w:val="1"/>
          <w:smallCaps w:val="0"/>
          <w:strike w:val="0"/>
          <w:color w:val="00000a"/>
          <w:sz w:val="23.040000915527344"/>
          <w:szCs w:val="23.040000915527344"/>
          <w:u w:val="none"/>
          <w:shd w:fill="auto" w:val="clear"/>
          <w:vertAlign w:val="baseline"/>
          <w:rtl w:val="0"/>
        </w:rPr>
        <w:t xml:space="preserve">Kopā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līdz šim pabeigto raundu skaits.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775634765625" w:line="240" w:lineRule="auto"/>
        <w:ind w:left="96.21109008789062"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3.040000915527344"/>
          <w:szCs w:val="23.040000915527344"/>
          <w:u w:val="none"/>
          <w:shd w:fill="auto" w:val="clear"/>
          <w:vertAlign w:val="baseline"/>
          <w:rtl w:val="0"/>
        </w:rPr>
        <w:t xml:space="preserve">Baņķieris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baņķiera uzvaru skaits līdz šim.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89276123046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3.040000915527344"/>
          <w:szCs w:val="23.040000915527344"/>
          <w:u w:val="none"/>
          <w:shd w:fill="auto" w:val="clear"/>
          <w:vertAlign w:val="baseline"/>
          <w:rtl w:val="0"/>
        </w:rPr>
        <w:t xml:space="preserve">Spēlētājs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spēlētāja uzvaru skaits līdz šim.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05905151367188"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3.040000915527344"/>
          <w:szCs w:val="23.040000915527344"/>
          <w:u w:val="none"/>
          <w:shd w:fill="auto" w:val="clear"/>
          <w:vertAlign w:val="baseline"/>
          <w:rtl w:val="0"/>
        </w:rPr>
        <w:t xml:space="preserve">Neizšķirts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neizšķirtu raundu skaits līdz šim.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21109008789062"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3.040000915527344"/>
          <w:szCs w:val="23.040000915527344"/>
          <w:u w:val="none"/>
          <w:shd w:fill="auto" w:val="clear"/>
          <w:vertAlign w:val="baseline"/>
          <w:rtl w:val="0"/>
        </w:rPr>
        <w:t xml:space="preserve">Banķieris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a"/>
          <w:sz w:val="23.040000915527344"/>
          <w:szCs w:val="23.040000915527344"/>
          <w:u w:val="none"/>
          <w:shd w:fill="auto" w:val="clear"/>
          <w:vertAlign w:val="baseline"/>
          <w:rtl w:val="0"/>
        </w:rPr>
        <w:t xml:space="preserve">Pāris</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baņķiera pāru skaits līdz šim.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89276123046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23.040000915527344"/>
          <w:szCs w:val="23.040000915527344"/>
          <w:u w:val="none"/>
          <w:shd w:fill="auto" w:val="clear"/>
          <w:vertAlign w:val="baseline"/>
          <w:rtl w:val="0"/>
        </w:rPr>
        <w:t xml:space="preserve">Spēlētājs (Pāris)</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spēlētāja pāru skaits līdz šim.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2451171875" w:line="240" w:lineRule="auto"/>
        <w:ind w:left="100"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2894965" cy="141986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894965" cy="141986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9947509765625" w:right="0" w:firstLine="0"/>
        <w:jc w:val="left"/>
        <w:rPr>
          <w:rFonts w:ascii="Calibri" w:cs="Calibri" w:eastAsia="Calibri" w:hAnsi="Calibri"/>
          <w:b w:val="1"/>
          <w:color w:val="00000a"/>
          <w:sz w:val="24"/>
          <w:szCs w:val="24"/>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39947509765625" w:right="0" w:firstLine="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highlight w:val="white"/>
          <w:u w:val="none"/>
          <w:vertAlign w:val="baseline"/>
          <w:rtl w:val="0"/>
        </w:rPr>
        <w:t xml:space="preserve">Kārtība, kādā notiek pieteikšanās uz laimestu un kādā to izsniedz</w:t>
      </w: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18603515625" w:line="240" w:lineRule="auto"/>
        <w:ind w:left="5.087890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.lv kontā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6328125" w:line="240" w:lineRule="auto"/>
        <w:ind w:left="1.91986083984375" w:right="0" w:firstLine="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30.1166534423828" w:lineRule="auto"/>
        <w:ind w:left="1.862335205078125" w:right="23.90380859375" w:firstLine="3.22555541992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1083984375" w:line="232.3815107345581" w:lineRule="auto"/>
        <w:ind w:left="0.019073486328125" w:right="93.90625" w:firstLine="17.0208740234375"/>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38">
      <w:pPr>
        <w:spacing w:line="240" w:lineRule="auto"/>
        <w:rPr>
          <w:rFonts w:ascii="Times New Roman" w:cs="Times New Roman" w:eastAsia="Times New Roman" w:hAnsi="Times New Roman"/>
          <w:sz w:val="23"/>
          <w:szCs w:val="23"/>
        </w:rPr>
      </w:pPr>
      <w:bookmarkStart w:colFirst="0" w:colLast="0" w:name="_3znysh7"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0">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037109375" w:line="233.24026107788086" w:lineRule="auto"/>
        <w:ind w:left="9.839935302734375" w:right="1792.80029296875" w:firstLine="17.59674072265625"/>
        <w:jc w:val="left"/>
        <w:rPr>
          <w:rFonts w:ascii="Times New Roman" w:cs="Times New Roman" w:eastAsia="Times New Roman" w:hAnsi="Times New Roman"/>
          <w:sz w:val="23.040000915527344"/>
          <w:szCs w:val="23.040000915527344"/>
          <w:highlight w:val="whit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037109375" w:line="233.24026107788086" w:lineRule="auto"/>
        <w:ind w:left="9.839935302734375" w:right="1792.80029296875" w:firstLine="17.59674072265625"/>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Cita informācija, kuru azartspēles organizētājs uzskata par nepieciešamu</w:t>
      </w:r>
    </w:p>
    <w:sectPr>
      <w:pgSz w:h="15840" w:w="12240" w:orient="portrait"/>
      <w:pgMar w:bottom="1766.8800354003906" w:top="1423.199462890625" w:left="1440" w:right="1387.370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upport@spins.lv"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