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691986083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21.40563964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Cowboys Gold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0.69198608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2763671875" w:line="240" w:lineRule="auto"/>
        <w:ind w:left="12.4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PragmaticPlay Ltd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52661132812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58056640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3.56246948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31.15838050842285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Cowboys Gold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00585937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69287109375" w:line="240" w:lineRule="auto"/>
        <w:ind w:left="16.3079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“Cowboys Gold” ir 5 ruļļu, 3 rindu un 10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236083984375" w:line="262.7420425415039" w:lineRule="auto"/>
        <w:ind w:left="735.0761413574219" w:right="634.7723388671875" w:hanging="354.8896789550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funkcijas: Aizstājējsimbols, “Money Collect” bonuss un bezmaksas 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1503906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23901367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89076" cy="104013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076" cy="1040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6.9192504882812" w:right="1290.1318359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8691558838" w:lineRule="auto"/>
        <w:ind w:left="730.4681396484375" w:right="625.19836425781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36.36372566223145" w:lineRule="auto"/>
        <w:ind w:left="380.6855773925781" w:right="580.723876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“Cowboy” simboli spēles laukumā var parādīties ar 1x-100x laimestu vērtībām.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36.36372566223145" w:lineRule="auto"/>
        <w:ind w:left="380.6855773925781" w:right="580.723876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“Renagade” simbols uz piektā ruļļa aktivizē “Money Collect” funkciju, apkopojot visas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“Cowboy” simbolu reizinātājvērtības vienā laimestā.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9420166015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073760" cy="103124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760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35.0761413574219" w:right="367.6123046875" w:hanging="354.390563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vai vairāk “Scatter” simboli+ “Renagade” simbols uz piektā ruļļa aktivizē bezmaksas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7783203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65822" cy="105537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5822" cy="1055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10 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laikā iespējams iegūt papildu griezienus līdz pat trīs reizes.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28.3944702148438" w:right="125.462646484375" w:hanging="347.70889282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Katra papildu griezienu iegūšanas reize piešķir arī +1x laimesta reizinātāju “Money Collect”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bonusam, ja tāds tiek aktivizēts.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4.17283058166504" w:lineRule="auto"/>
        <w:ind w:left="380.6855773925781" w:right="745.2374267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4.17283058166504" w:lineRule="auto"/>
        <w:ind w:left="380.6855773925781" w:right="745.2374267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170898437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35.5368041992188" w:right="462.2961425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2404785156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100.00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42284107208252" w:lineRule="auto"/>
        <w:ind w:left="735.5368041992188" w:right="20.628662109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0263671875" w:line="231.157865524292" w:lineRule="auto"/>
        <w:ind w:left="711.114501953125" w:right="888.77624511718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23022460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47891807556152" w:lineRule="auto"/>
        <w:ind w:left="728.2249450683594" w:right="1035.3106689453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071289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246215820312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811134338379" w:lineRule="auto"/>
        <w:ind w:left="8.224945068359375" w:right="2358.56994628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84.414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5.90177536010742" w:lineRule="auto"/>
        <w:ind w:left="17.10479736328125" w:right="344.4616699218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06640625" w:line="229.07445430755615" w:lineRule="auto"/>
        <w:ind w:left="10.548095703125" w:right="141.43066406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9.81323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838050842285" w:lineRule="auto"/>
        <w:ind w:left="19.063262939453125" w:right="1874.1735839843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838050842285" w:lineRule="auto"/>
        <w:ind w:left="19.063262939453125" w:right="1874.1735839843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0986328125" w:line="230.1163673400879" w:lineRule="auto"/>
        <w:ind w:left="16.53839111328125" w:right="635.3881835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21142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85928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9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19.9945068359375" w:right="50.866699218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1083984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433060" cy="1203960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9399719238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37329101562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02960205078125" w:right="0" w:firstLine="0"/>
        <w:jc w:val="left"/>
        <w:rPr>
          <w:rFonts w:ascii="Calibri" w:cs="Calibri" w:eastAsia="Calibri" w:hAnsi="Calibri"/>
          <w:b w:val="1"/>
          <w:color w:val="00000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02960205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607421875" w:line="229.07429695129395" w:lineRule="auto"/>
        <w:ind w:left="10.0872802734375" w:right="24.095458984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32.01215267181396" w:lineRule="auto"/>
        <w:ind w:left="8.2440185546875" w:right="202.0971679687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1474609375" w:line="233.240704536438" w:lineRule="auto"/>
        <w:ind w:left="17.31597900390625" w:right="1904.339599609375" w:firstLine="16.963195800781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1474609375" w:line="233.240704536438" w:lineRule="auto"/>
        <w:ind w:left="17.31597900390625" w:right="1904.339599609375" w:firstLine="16.963195800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51.2199401855469" w:top="1423.199462890625" w:left="1431.7750549316406" w:right="1387.1789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9.png"/><Relationship Id="rId14" Type="http://schemas.openxmlformats.org/officeDocument/2006/relationships/image" Target="media/image6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