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45" w:firstLine="0"/>
        <w:rPr>
          <w:rFonts w:ascii="Times New Roman" w:cs="Times New Roman" w:eastAsia="Times New Roman" w:hAnsi="Times New Roman"/>
          <w:sz w:val="23"/>
          <w:szCs w:val="23"/>
        </w:rPr>
      </w:pPr>
      <w:bookmarkStart w:colFirst="0" w:colLast="0" w:name="_gjdgxs" w:id="0"/>
      <w:bookmarkEnd w:id="0"/>
      <w:r w:rsidDel="00000000" w:rsidR="00000000" w:rsidRPr="00000000">
        <w:rPr>
          <w:rFonts w:ascii="Times New Roman" w:cs="Times New Roman" w:eastAsia="Times New Roman" w:hAnsi="Times New Roman"/>
          <w:sz w:val="23"/>
          <w:szCs w:val="23"/>
          <w:rtl w:val="0"/>
        </w:rPr>
        <w:t xml:space="preserve">SIA "BALTENT" </w:t>
      </w:r>
    </w:p>
    <w:p w:rsidR="00000000" w:rsidDel="00000000" w:rsidP="00000000" w:rsidRDefault="00000000" w:rsidRPr="00000000" w14:paraId="00000003">
      <w:pPr>
        <w:spacing w:line="240" w:lineRule="auto"/>
        <w:ind w:left="0" w:right="4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Reģ. Nr. 40203068277</w:t>
      </w:r>
    </w:p>
    <w:p w:rsidR="00000000" w:rsidDel="00000000" w:rsidP="00000000" w:rsidRDefault="00000000" w:rsidRPr="00000000" w14:paraId="00000004">
      <w:pPr>
        <w:spacing w:line="240" w:lineRule="auto"/>
        <w:ind w:left="0" w:right="45" w:firstLine="0"/>
        <w:rPr>
          <w:rFonts w:ascii="Times New Roman" w:cs="Times New Roman" w:eastAsia="Times New Roman" w:hAnsi="Times New Roman"/>
          <w:sz w:val="23"/>
          <w:szCs w:val="23"/>
          <w:highlight w:val="white"/>
        </w:rPr>
      </w:pPr>
      <w:r w:rsidDel="00000000" w:rsidR="00000000" w:rsidRPr="00000000">
        <w:rPr>
          <w:rFonts w:ascii="Times New Roman" w:cs="Times New Roman" w:eastAsia="Times New Roman" w:hAnsi="Times New Roman"/>
          <w:sz w:val="23"/>
          <w:szCs w:val="23"/>
          <w:highlight w:val="white"/>
          <w:rtl w:val="0"/>
        </w:rPr>
        <w:t xml:space="preserve">Krišjāņa Valdemāra iela 33- 30</w:t>
      </w:r>
    </w:p>
    <w:p w:rsidR="00000000" w:rsidDel="00000000" w:rsidP="00000000" w:rsidRDefault="00000000" w:rsidRPr="00000000" w14:paraId="00000005">
      <w:pPr>
        <w:spacing w:line="240" w:lineRule="auto"/>
        <w:ind w:left="0" w:right="45" w:firstLine="0"/>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LV-1010, Rīga, Latvija </w:t>
      </w:r>
    </w:p>
    <w:p w:rsidR="00000000" w:rsidDel="00000000" w:rsidP="00000000" w:rsidRDefault="00000000" w:rsidRPr="00000000" w14:paraId="00000006">
      <w:pPr>
        <w:spacing w:line="240" w:lineRule="auto"/>
        <w:ind w:left="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3"/>
          <w:szCs w:val="23"/>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 Burning Hot 6 Reels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 EGT Interactive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0.50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50.00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82519531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1.90716743469238" w:lineRule="auto"/>
        <w:ind w:left="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3"/>
          <w:szCs w:val="23"/>
          <w:rtl w:val="0"/>
        </w:rPr>
        <w:t xml:space="preserve">Interneta vietnē </w:t>
      </w:r>
      <w:hyperlink r:id="rId6">
        <w:r w:rsidDel="00000000" w:rsidR="00000000" w:rsidRPr="00000000">
          <w:rPr>
            <w:rFonts w:ascii="Times New Roman" w:cs="Times New Roman" w:eastAsia="Times New Roman" w:hAnsi="Times New Roman"/>
            <w:color w:val="0563c1"/>
            <w:sz w:val="23"/>
            <w:szCs w:val="23"/>
            <w:u w:val="single"/>
            <w:rtl w:val="0"/>
          </w:rPr>
          <w:t xml:space="preserve">www.spins.lv</w:t>
        </w:r>
      </w:hyperlink>
      <w:r w:rsidDel="00000000" w:rsidR="00000000" w:rsidRPr="00000000">
        <w:rPr>
          <w:rFonts w:ascii="Times New Roman" w:cs="Times New Roman" w:eastAsia="Times New Roman" w:hAnsi="Times New Roman"/>
          <w:sz w:val="23"/>
          <w:szCs w:val="23"/>
          <w:rtl w:val="0"/>
        </w:rPr>
        <w:t xml:space="preserve"> nospiežot ikonu “</w:t>
      </w:r>
      <w:r w:rsidDel="00000000" w:rsidR="00000000" w:rsidRPr="00000000">
        <w:rPr>
          <w:rFonts w:ascii="Times New Roman" w:cs="Times New Roman" w:eastAsia="Times New Roman" w:hAnsi="Times New Roman"/>
          <w:sz w:val="24"/>
          <w:szCs w:val="24"/>
          <w:rtl w:val="0"/>
        </w:rPr>
        <w:t xml:space="preserve">Spēļu  Automāti</w:t>
      </w:r>
      <w:r w:rsidDel="00000000" w:rsidR="00000000" w:rsidRPr="00000000">
        <w:rPr>
          <w:rFonts w:ascii="Times New Roman" w:cs="Times New Roman" w:eastAsia="Times New Roman" w:hAnsi="Times New Roman"/>
          <w:sz w:val="23"/>
          <w:szCs w:val="23"/>
          <w:rtl w:val="0"/>
        </w:rPr>
        <w:t xml:space="preserve">”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pēc tam nospiežot spēles ikonu “40 Burning Hot 6 Reels”.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31.90743923187256"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Burning Hot 6 Reels“ ir sešu ruļļu, 40 fiksētu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Aizstājejsimbols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Izkaisītie (“Scatter”) simboli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„Riska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“Jackpot kārtis”.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notiek uz 40 fiksētam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lielums uz katru izmaksas līniju var būt no 0,01 EUR līdz 0.05 EUR. </w:t>
      </w: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Aizstājejsimbola (“Wild”) noteikumi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92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20090" cy="746275"/>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720090" cy="74627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87792968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paradās tikai uz 2.,3., 4 un 5 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“Wild” simbols aizvieto visus simbolus, izņemot “Scatter” simbolus.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194091796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Izkaisīto (“Scatter”) simbolu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6867675781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753860" cy="880745"/>
            <wp:effectExtent b="0" l="0" r="0" t="0"/>
            <wp:docPr id="3"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753860" cy="880745"/>
                    </a:xfrm>
                    <a:prstGeom prst="rect"/>
                    <a:ln/>
                  </pic:spPr>
                </pic:pic>
              </a:graphicData>
            </a:graphic>
          </wp:inline>
        </w:drawing>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677984" cy="881380"/>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77984" cy="8813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7785644531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Šis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11065" cy="450215"/>
            <wp:effectExtent b="0" l="0" r="0" t="0"/>
            <wp:docPr id="10" name="image13.png"/>
            <a:graphic>
              <a:graphicData uri="http://schemas.openxmlformats.org/drawingml/2006/picture">
                <pic:pic>
                  <pic:nvPicPr>
                    <pic:cNvPr id="0" name="image13.png"/>
                    <pic:cNvPicPr preferRelativeResize="0"/>
                  </pic:nvPicPr>
                  <pic:blipFill>
                    <a:blip r:embed="rId10"/>
                    <a:srcRect b="0" l="0" r="0" t="0"/>
                    <a:stretch>
                      <a:fillRect/>
                    </a:stretch>
                  </pic:blipFill>
                  <pic:spPr>
                    <a:xfrm>
                      <a:off x="0" y="0"/>
                      <a:ext cx="411065" cy="45021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“Scatter” simbols paradās tikai uz 2.,3.,4 un 5. ruļļa.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28015136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“Riska funkcija”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862182617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430182" cy="314325"/>
            <wp:effectExtent b="0" l="0" r="0" t="0"/>
            <wp:docPr id="9"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430182"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5683593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Lai riskētu ar laimestu, spiediet uz GAMBLE .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Riskēt var ar summu, kas nav lielāka par 1500 EUR.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Izvēlieties kārts KRĀSU.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09219932556152"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Ja KRĀSAS izvēle ir pareiza, laimests tiek DIVKĀRŠOTS (X2). 5. Lai pārtrauktu minēt un paņemtu laimestu spiediet uz COLLECT: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55942" cy="421005"/>
            <wp:effectExtent b="0" l="0" r="0" t="0"/>
            <wp:docPr id="14"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55942" cy="421005"/>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Ar laimestu var riskēt līdz pat 4 reizēm.</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Bonusa spēles “Jackpot kārtis”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Pēc jebkura grieziena pēc nejaušības principa var tikt uzsākta bonusa spēle  “Jackpot kārtis”.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Spēlētājam tiek piedāvātas 12 aizklātas kārtis.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Klikšķinot uz kārtīm, tās tiek atvērtas.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Spēle beidzas, kad tiek atklātas 3 vienādas masts kārtis.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931396484375" w:line="240" w:lineRule="auto"/>
        <w:ind w:left="0" w:right="4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859655" cy="2358888"/>
            <wp:effectExtent b="0" l="0" r="0" t="0"/>
            <wp:docPr id="12"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4859655" cy="2358888"/>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Spēlētājs iegūst atklātajai kāršu mastij atbilstošu džekpotu.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džekpot laimestu nevar spēlēt bonusa spēli “Riska funkcija”.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Džekpotu vērtības parādītas ekrāna augšdaļā: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632080078125" w:line="240" w:lineRule="auto"/>
        <w:ind w:left="0" w:right="45"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264160"/>
            <wp:effectExtent b="0" l="0" r="0" t="0"/>
            <wp:docPr id="7"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274310" cy="26416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84716796875" w:line="231.90743923187256"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 “Jackpot kārtis” ir progresīvie džekpoti, kas nozīmē, ka no  katras spēles likmes 1% tiek pieskaitīts džekpotu uzkrājumam vienādās 0.25%  proporcijās katram džekpotam.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2.012329101562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Jums tiek izmaksāts laimests tikai par lielāko laimīgo kombināciju no katras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Bonusa spēles laimesti tiek pieskaitīti izmaksas līnijas laimestiem.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veidotos regulārās laimīgās kombinācijas, simboliem uz aktīvas izmaksas  līnijas jāatrodas blakus.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779876708984"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laimīgās kombinācijas tiek veidotas no kreisās uz labo pusi. Vismaz  vienam no simboliem jābūt attēlotam uz pirmā ruļļa. Simbolu kombinācija  neveidojas, ja tā sākas no otrā ruļļa.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308593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Nepareiza darbība atceļ visas spēles un izmaksas.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0688476562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“MONĒTAS”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izvēlni: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8691406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5162" cy="485775"/>
            <wp:effectExtent b="0" l="0" r="0" t="0"/>
            <wp:docPr id="5"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525162"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187744140625" w:line="231.90690994262695"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Klikšķiniet uz kādas no ikonām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Uz ikonām parādīta kopējā  grieziena likme.”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GRIEZT”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ikonas atbilst 1, 2, 5, 10 vai 20 monētu likmei uz  katru izmaksas līniju: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1755371093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106495" cy="529590"/>
            <wp:effectExtent b="0" l="0" r="0" t="0"/>
            <wp:docPr id="8"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3106495" cy="52959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59155273437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043457031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ruļļi griezīsies Automātiskajā režīmā ar jūsu  izvēlēto likmi: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322265625" w:line="240"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04825" cy="361950"/>
            <wp:effectExtent b="0" l="0" r="0" t="0"/>
            <wp:docPr id="4"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504825" cy="3619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56583213806152"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15999984741211"/>
          <w:szCs w:val="20.15999984741211"/>
          <w:u w:val="none"/>
          <w:shd w:fill="auto" w:val="clear"/>
          <w:vertAlign w:val="baseline"/>
          <w:rtl w:val="0"/>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Apturēt Automātisko režīmu var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APTURĒT GRIEZIENUS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ikonu: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14350" cy="438150"/>
            <wp:effectExtent b="0" l="0" r="0" t="0"/>
            <wp:docPr id="6"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514350" cy="43815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55908203125" w:line="231.9074392318725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2451171875" w:line="231.90716743469238" w:lineRule="auto"/>
        <w:ind w:left="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28125" w:line="229.90804195404053"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Katras kombinācijas laimests Izmaksu Tabulā tiek norādīts skaitļos. Lai iegūtu kopējo  laimesta skaitu uz aktīvās izmaksas līnijas tabulā uzrādītais skaitlis jāreizina ar likmi  uz izmaksas līnijas.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5600585937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Simboliem jābūt līdzās uz aktīvas izmaksas līnijas.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9.90779876708984"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15999984741211"/>
          <w:szCs w:val="20.15999984741211"/>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59765625" w:line="231.90690994262695"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Regulārās Izmaksas parādītas Izmaksu attēlos. Izmaksas parādītas par līnijas likmi 0.50 EUR. Palielinot līnijas likmi, proporcionāli palielinās līniju izmaksas: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1611328125" w:line="214.53758239746094"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2913380"/>
            <wp:effectExtent b="0" l="0" r="0" t="0"/>
            <wp:docPr id="11" name="image4.png"/>
            <a:graphic>
              <a:graphicData uri="http://schemas.openxmlformats.org/drawingml/2006/picture">
                <pic:pic>
                  <pic:nvPicPr>
                    <pic:cNvPr id="0" name="image4.png"/>
                    <pic:cNvPicPr preferRelativeResize="0"/>
                  </pic:nvPicPr>
                  <pic:blipFill>
                    <a:blip r:embed="rId19"/>
                    <a:srcRect b="0" l="0" r="0" t="0"/>
                    <a:stretch>
                      <a:fillRect/>
                    </a:stretch>
                  </pic:blipFill>
                  <pic:spPr>
                    <a:xfrm>
                      <a:off x="0" y="0"/>
                      <a:ext cx="5274310" cy="2913380"/>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51611328125" w:line="214.53758239746094" w:lineRule="auto"/>
        <w:ind w:left="0" w:right="4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1035156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7.908673286438"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93.23665618896484"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274310" cy="1334770"/>
            <wp:effectExtent b="0" l="0" r="0" t="0"/>
            <wp:docPr id="13" name="image5.png"/>
            <a:graphic>
              <a:graphicData uri="http://schemas.openxmlformats.org/drawingml/2006/picture">
                <pic:pic>
                  <pic:nvPicPr>
                    <pic:cNvPr id="0" name="image5.png"/>
                    <pic:cNvPicPr preferRelativeResize="0"/>
                  </pic:nvPicPr>
                  <pic:blipFill>
                    <a:blip r:embed="rId20"/>
                    <a:srcRect b="0" l="0" r="0" t="0"/>
                    <a:stretch>
                      <a:fillRect/>
                    </a:stretch>
                  </pic:blipFill>
                  <pic:spPr>
                    <a:xfrm>
                      <a:off x="0" y="0"/>
                      <a:ext cx="5274310" cy="1334770"/>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93.23665618896484"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93.23665618896484" w:lineRule="auto"/>
        <w:ind w:left="0" w:right="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3"/>
          <w:szCs w:val="23"/>
          <w:rtl w:val="0"/>
        </w:rPr>
        <w:t xml:space="preserve">Spins.lv kontā.</w:t>
      </w: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189453125" w:line="230.57418823242188" w:lineRule="auto"/>
        <w:ind w:left="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5.90516090393066"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62">
      <w:pPr>
        <w:spacing w:line="240" w:lineRule="auto"/>
        <w:ind w:left="0" w:right="45"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3"/>
          <w:szCs w:val="23"/>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3"/>
          <w:szCs w:val="23"/>
          <w:highlight w:val="white"/>
          <w:rtl w:val="0"/>
        </w:rPr>
        <w:t xml:space="preserve">Krišjāņa Valdemāra iela 33- 30</w:t>
      </w:r>
      <w:r w:rsidDel="00000000" w:rsidR="00000000" w:rsidRPr="00000000">
        <w:rPr>
          <w:rFonts w:ascii="Times New Roman" w:cs="Times New Roman" w:eastAsia="Times New Roman" w:hAnsi="Times New Roman"/>
          <w:sz w:val="23"/>
          <w:szCs w:val="23"/>
          <w:rtl w:val="0"/>
        </w:rPr>
        <w:t xml:space="preserve">, LV-1010. </w:t>
      </w:r>
      <w:r w:rsidDel="00000000" w:rsidR="00000000" w:rsidRPr="00000000">
        <w:rPr>
          <w:rFonts w:ascii="Times New Roman" w:cs="Times New Roman" w:eastAsia="Times New Roman" w:hAnsi="Times New Roman"/>
          <w:sz w:val="23.040000915527344"/>
          <w:szCs w:val="23.040000915527344"/>
          <w:highlight w:val="white"/>
          <w:rtl w:val="0"/>
        </w:rPr>
        <w:t xml:space="preserve">Tāpat iespējams sazināties, atverot </w:t>
      </w:r>
      <w:r w:rsidDel="00000000" w:rsidR="00000000" w:rsidRPr="00000000">
        <w:rPr>
          <w:rFonts w:ascii="Times New Roman" w:cs="Times New Roman" w:eastAsia="Times New Roman" w:hAnsi="Times New Roman"/>
          <w:sz w:val="23.040000915527344"/>
          <w:szCs w:val="23.040000915527344"/>
          <w:rtl w:val="0"/>
        </w:rPr>
        <w:t xml:space="preserve"> </w:t>
      </w:r>
      <w:r w:rsidDel="00000000" w:rsidR="00000000" w:rsidRPr="00000000">
        <w:rPr>
          <w:rFonts w:ascii="Times New Roman" w:cs="Times New Roman" w:eastAsia="Times New Roman" w:hAnsi="Times New Roman"/>
          <w:sz w:val="23.040000915527344"/>
          <w:szCs w:val="23.040000915527344"/>
          <w:highlight w:val="white"/>
          <w:rtl w:val="0"/>
        </w:rPr>
        <w:t xml:space="preserve">klientu atbalsta čatu mājāslapā vai rakstot uz </w:t>
      </w:r>
      <w:hyperlink r:id="rId21">
        <w:r w:rsidDel="00000000" w:rsidR="00000000" w:rsidRPr="00000000">
          <w:rPr>
            <w:rFonts w:ascii="Times New Roman" w:cs="Times New Roman" w:eastAsia="Times New Roman" w:hAnsi="Times New Roman"/>
            <w:color w:val="1155cc"/>
            <w:sz w:val="23.040000915527344"/>
            <w:szCs w:val="23.040000915527344"/>
            <w:highlight w:val="white"/>
            <w:u w:val="single"/>
            <w:rtl w:val="0"/>
          </w:rPr>
          <w:t xml:space="preserve">support@spins.lv</w:t>
        </w:r>
      </w:hyperlink>
      <w:r w:rsidDel="00000000" w:rsidR="00000000" w:rsidRPr="00000000">
        <w:rPr>
          <w:rFonts w:ascii="Times New Roman" w:cs="Times New Roman" w:eastAsia="Times New Roman" w:hAnsi="Times New Roman"/>
          <w:sz w:val="23.040000915527344"/>
          <w:szCs w:val="23.040000915527344"/>
          <w:highlight w:val="white"/>
          <w:rtl w:val="0"/>
        </w:rPr>
        <w:t xml:space="preserve"> epasta adresi. </w:t>
      </w:r>
      <w:r w:rsidDel="00000000" w:rsidR="00000000" w:rsidRPr="00000000">
        <w:rPr>
          <w:rFonts w:ascii="Times New Roman" w:cs="Times New Roman" w:eastAsia="Times New Roman" w:hAnsi="Times New Roman"/>
          <w:sz w:val="23"/>
          <w:szCs w:val="23"/>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81201171875" w:line="240" w:lineRule="auto"/>
        <w:ind w:left="0" w:right="4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4.482421875" w:top="1425.712890625" w:left="1791.4739990234375" w:right="1074.59716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image" Target="media/image10.png"/><Relationship Id="rId10" Type="http://schemas.openxmlformats.org/officeDocument/2006/relationships/image" Target="media/image13.png"/><Relationship Id="rId21" Type="http://schemas.openxmlformats.org/officeDocument/2006/relationships/hyperlink" Target="mailto:support@spins.lv" TargetMode="External"/><Relationship Id="rId13" Type="http://schemas.openxmlformats.org/officeDocument/2006/relationships/image" Target="media/image7.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8.png"/><Relationship Id="rId17" Type="http://schemas.openxmlformats.org/officeDocument/2006/relationships/image" Target="media/image1.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4.png"/><Relationship Id="rId6" Type="http://schemas.openxmlformats.org/officeDocument/2006/relationships/hyperlink" Target="http://www.spins.lv" TargetMode="External"/><Relationship Id="rId18" Type="http://schemas.openxmlformats.org/officeDocument/2006/relationships/image" Target="media/image3.png"/><Relationship Id="rId7" Type="http://schemas.openxmlformats.org/officeDocument/2006/relationships/image" Target="media/image9.png"/><Relationship Id="rId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